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colors3.xml" ContentType="application/vnd.ms-office.chartcolorstyle+xml"/>
  <Override PartName="/word/charts/style1.xml" ContentType="application/vnd.ms-office.chartstyle+xml"/>
  <Override PartName="/word/charts/style2.xml" ContentType="application/vnd.ms-office.chartstyle+xml"/>
  <Override PartName="/word/charts/style3.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Override PartName="/word/theme/themeOverride2.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宋体" w:hAnsi="宋体" w:cs="宋体"/>
          <w:b/>
          <w:kern w:val="0"/>
          <w:sz w:val="32"/>
          <w:szCs w:val="32"/>
        </w:rPr>
      </w:pPr>
      <w:r>
        <w:rPr>
          <w:rFonts w:hint="eastAsia" w:ascii="宋体" w:hAnsi="宋体" w:cs="宋体"/>
          <w:b/>
          <w:kern w:val="0"/>
          <w:sz w:val="32"/>
          <w:szCs w:val="32"/>
          <w:lang w:val="en-US" w:eastAsia="zh-Hans"/>
        </w:rPr>
        <w:t>关务与外贸服务</w:t>
      </w:r>
      <w:r>
        <w:rPr>
          <w:rFonts w:ascii="宋体" w:hAnsi="宋体" w:cs="宋体"/>
          <w:b/>
          <w:kern w:val="0"/>
          <w:sz w:val="32"/>
          <w:szCs w:val="32"/>
        </w:rPr>
        <w:t>专业介绍</w:t>
      </w:r>
    </w:p>
    <w:p>
      <w:pPr>
        <w:keepNext w:val="0"/>
        <w:keepLines w:val="0"/>
        <w:widowControl/>
        <w:suppressLineNumbers w:val="0"/>
        <w:jc w:val="left"/>
      </w:pPr>
      <w:r>
        <w:rPr>
          <w:rFonts w:ascii="宋体" w:hAnsi="宋体" w:eastAsia="宋体" w:cs="宋体"/>
          <w:kern w:val="0"/>
          <w:sz w:val="24"/>
          <w:szCs w:val="24"/>
          <w:lang w:val="en-US" w:eastAsia="zh-CN" w:bidi="ar"/>
        </w:rPr>
        <w:drawing>
          <wp:inline distT="0" distB="0" distL="114300" distR="114300">
            <wp:extent cx="5232400" cy="1579880"/>
            <wp:effectExtent l="0" t="0" r="0" b="7620"/>
            <wp:docPr id="2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descr="IMG_256"/>
                    <pic:cNvPicPr>
                      <a:picLocks noChangeAspect="1"/>
                    </pic:cNvPicPr>
                  </pic:nvPicPr>
                  <pic:blipFill>
                    <a:blip r:embed="rId4"/>
                    <a:stretch>
                      <a:fillRect/>
                    </a:stretch>
                  </pic:blipFill>
                  <pic:spPr>
                    <a:xfrm>
                      <a:off x="0" y="0"/>
                      <a:ext cx="5232400" cy="1579880"/>
                    </a:xfrm>
                    <a:prstGeom prst="rect">
                      <a:avLst/>
                    </a:prstGeom>
                    <a:noFill/>
                    <a:ln w="9525">
                      <a:noFill/>
                    </a:ln>
                  </pic:spPr>
                </pic:pic>
              </a:graphicData>
            </a:graphic>
          </wp:inline>
        </w:drawing>
      </w:r>
    </w:p>
    <w:p>
      <w:pPr>
        <w:keepNext w:val="0"/>
        <w:keepLines w:val="0"/>
        <w:widowControl/>
        <w:suppressLineNumbers w:val="0"/>
        <w:jc w:val="left"/>
      </w:pPr>
    </w:p>
    <w:p>
      <w:pPr>
        <w:keepNext w:val="0"/>
        <w:keepLines w:val="0"/>
        <w:widowControl/>
        <w:suppressLineNumbers w:val="0"/>
        <w:jc w:val="left"/>
      </w:pPr>
    </w:p>
    <w:p>
      <w:pPr>
        <w:snapToGrid w:val="0"/>
        <w:spacing w:line="360" w:lineRule="auto"/>
        <w:rPr>
          <w:rFonts w:hint="eastAsia"/>
          <w:b/>
          <w:bCs/>
          <w:lang w:val="en-US" w:eastAsia="zh-CN"/>
        </w:rPr>
      </w:pPr>
    </w:p>
    <w:p>
      <w:pPr>
        <w:snapToGrid w:val="0"/>
        <w:spacing w:line="360" w:lineRule="auto"/>
        <w:ind w:firstLine="542" w:firstLineChars="225"/>
        <w:rPr>
          <w:rFonts w:hint="eastAsia" w:ascii="宋体" w:hAnsi="宋体" w:cs="宋体"/>
          <w:b/>
          <w:kern w:val="0"/>
          <w:sz w:val="24"/>
        </w:rPr>
      </w:pPr>
      <w:r>
        <w:rPr>
          <w:rFonts w:hint="eastAsia" w:ascii="宋体" w:hAnsi="宋体" w:cs="宋体"/>
          <w:b/>
          <w:kern w:val="0"/>
          <w:sz w:val="24"/>
        </w:rPr>
        <w:t>一、</w:t>
      </w:r>
      <w:r>
        <w:rPr>
          <w:rFonts w:ascii="宋体" w:hAnsi="宋体" w:cs="宋体"/>
          <w:b/>
          <w:kern w:val="0"/>
          <w:sz w:val="24"/>
        </w:rPr>
        <w:t>就业前景</w:t>
      </w:r>
    </w:p>
    <w:p>
      <w:pPr>
        <w:snapToGrid w:val="0"/>
        <w:spacing w:line="360" w:lineRule="auto"/>
        <w:ind w:firstLine="542" w:firstLineChars="225"/>
        <w:rPr>
          <w:rFonts w:hint="default" w:ascii="宋体" w:hAnsi="宋体" w:eastAsia="宋体"/>
          <w:b/>
          <w:sz w:val="24"/>
          <w:lang w:val="en-US" w:eastAsia="zh-CN"/>
        </w:rPr>
      </w:pPr>
      <w:r>
        <w:rPr>
          <w:rFonts w:hint="eastAsia" w:ascii="宋体" w:hAnsi="宋体"/>
          <w:b/>
          <w:sz w:val="24"/>
        </w:rPr>
        <w:t>1.</w:t>
      </w:r>
      <w:r>
        <w:rPr>
          <w:rFonts w:ascii="宋体" w:hAnsi="宋体" w:cs="宋体"/>
          <w:b/>
          <w:kern w:val="0"/>
          <w:sz w:val="24"/>
        </w:rPr>
        <w:t>行业发展</w:t>
      </w:r>
    </w:p>
    <w:p>
      <w:pPr>
        <w:snapToGrid w:val="0"/>
        <w:spacing w:line="360" w:lineRule="auto"/>
        <w:ind w:firstLine="540" w:firstLineChars="225"/>
        <w:rPr>
          <w:rFonts w:hint="eastAsia" w:ascii="宋体" w:hAnsi="宋体"/>
          <w:sz w:val="24"/>
        </w:rPr>
      </w:pPr>
      <w:r>
        <w:rPr>
          <w:rFonts w:hint="eastAsia" w:ascii="宋体" w:hAnsi="宋体"/>
          <w:sz w:val="24"/>
          <w:lang w:val="en-US" w:eastAsia="zh-Hans"/>
        </w:rPr>
        <w:t>入世近二十年来</w:t>
      </w:r>
      <w:r>
        <w:rPr>
          <w:rFonts w:hint="default" w:ascii="宋体" w:hAnsi="宋体"/>
          <w:sz w:val="24"/>
          <w:lang w:eastAsia="zh-Hans"/>
        </w:rPr>
        <w:t>，</w:t>
      </w:r>
      <w:r>
        <w:rPr>
          <w:rFonts w:hint="eastAsia" w:ascii="宋体" w:hAnsi="宋体"/>
          <w:sz w:val="24"/>
          <w:lang w:val="en-US" w:eastAsia="zh-Hans"/>
        </w:rPr>
        <w:t>我国对外贸易发展迅速</w:t>
      </w:r>
      <w:r>
        <w:rPr>
          <w:rFonts w:hint="default" w:ascii="宋体" w:hAnsi="宋体"/>
          <w:sz w:val="24"/>
          <w:lang w:eastAsia="zh-Hans"/>
        </w:rPr>
        <w:t>。</w:t>
      </w:r>
      <w:r>
        <w:rPr>
          <w:rFonts w:hint="eastAsia" w:ascii="宋体" w:hAnsi="宋体"/>
          <w:sz w:val="24"/>
        </w:rPr>
        <w:t>“长三角”地区是我国对外贸易最发达的地区之一， 包括上海、南京、苏州、无锡、常州、杭州、宁波等15个城市，是我国第</w:t>
      </w:r>
      <w:r>
        <w:rPr>
          <w:rFonts w:hint="eastAsia" w:ascii="宋体" w:hAnsi="宋体"/>
          <w:sz w:val="24"/>
          <w:lang w:val="en-US" w:eastAsia="zh-Hans"/>
        </w:rPr>
        <w:t>一</w:t>
      </w:r>
      <w:r>
        <w:rPr>
          <w:rFonts w:hint="eastAsia" w:ascii="宋体" w:hAnsi="宋体"/>
          <w:sz w:val="24"/>
        </w:rPr>
        <w:t>大经济区，也是我国综合实力最强的经济中心。</w:t>
      </w:r>
    </w:p>
    <w:p>
      <w:pPr>
        <w:snapToGrid w:val="0"/>
        <w:spacing w:line="360" w:lineRule="auto"/>
        <w:ind w:firstLine="540" w:firstLineChars="225"/>
        <w:rPr>
          <w:rFonts w:hint="eastAsia" w:ascii="宋体" w:hAnsi="宋体"/>
          <w:sz w:val="24"/>
        </w:rPr>
      </w:pPr>
      <w:r>
        <w:rPr>
          <w:rFonts w:hint="eastAsia" w:ascii="宋体" w:hAnsi="宋体"/>
          <w:sz w:val="24"/>
        </w:rPr>
        <w:t>近年来，“长三角”地区对外贸易持续增长，进出口贸易规模也不断扩大</w:t>
      </w:r>
      <w:r>
        <w:rPr>
          <w:rFonts w:hint="default" w:ascii="宋体" w:hAnsi="宋体"/>
          <w:sz w:val="24"/>
        </w:rPr>
        <w:t>。</w:t>
      </w:r>
      <w:r>
        <w:rPr>
          <w:rFonts w:hint="eastAsia" w:ascii="宋体" w:hAnsi="宋体"/>
          <w:sz w:val="24"/>
        </w:rPr>
        <w:t>2019年，长三角一市三省外贸进出口总额达11.3万亿元，占全国比重的35.8%；出口总额6.7万亿元，占全国比重的38.8%；进口总额4.6万亿元，占全国比重的32.3%。长三角地区外贸进出口、出口、进口总额占全国比重均超过30%，特别是出口额占比近四成，外贸对经济总量贡献比例高。</w:t>
      </w:r>
    </w:p>
    <w:p>
      <w:pPr>
        <w:snapToGrid w:val="0"/>
        <w:spacing w:line="360" w:lineRule="auto"/>
        <w:ind w:firstLine="540" w:firstLineChars="225"/>
        <w:rPr>
          <w:rFonts w:hint="eastAsia" w:ascii="宋体" w:hAnsi="宋体"/>
          <w:sz w:val="24"/>
          <w:lang w:val="en-US" w:eastAsia="zh-CN"/>
        </w:rPr>
      </w:pPr>
      <w:r>
        <w:rPr>
          <w:rFonts w:hint="eastAsia" w:ascii="宋体" w:hAnsi="宋体"/>
          <w:sz w:val="24"/>
          <w:lang w:val="en-US" w:eastAsia="zh-Hans"/>
        </w:rPr>
        <w:t>长三角地区</w:t>
      </w:r>
      <w:r>
        <w:rPr>
          <w:rFonts w:hint="eastAsia" w:ascii="宋体" w:hAnsi="宋体"/>
          <w:sz w:val="24"/>
        </w:rPr>
        <w:t>对外贸易结构不断完善，出口产品在国际的国际竞争力不断提高。智能物流</w:t>
      </w:r>
      <w:r>
        <w:rPr>
          <w:rFonts w:hint="eastAsia" w:ascii="宋体" w:hAnsi="宋体"/>
          <w:sz w:val="24"/>
          <w:lang w:val="en-US" w:eastAsia="zh-Hans"/>
        </w:rPr>
        <w:t>骨干网建设</w:t>
      </w:r>
      <w:r>
        <w:rPr>
          <w:rFonts w:hint="default" w:ascii="宋体" w:hAnsi="宋体"/>
          <w:sz w:val="24"/>
        </w:rPr>
        <w:t>、</w:t>
      </w:r>
      <w:r>
        <w:rPr>
          <w:rFonts w:hint="eastAsia" w:ascii="宋体" w:hAnsi="宋体"/>
          <w:sz w:val="24"/>
          <w:lang w:val="en-US" w:eastAsia="zh-CN"/>
        </w:rPr>
        <w:t>智能航运</w:t>
      </w:r>
      <w:r>
        <w:rPr>
          <w:rFonts w:hint="eastAsia" w:ascii="宋体" w:hAnsi="宋体"/>
          <w:sz w:val="24"/>
          <w:lang w:val="en-US" w:eastAsia="zh-Hans"/>
        </w:rPr>
        <w:t>建设</w:t>
      </w:r>
      <w:r>
        <w:rPr>
          <w:rFonts w:hint="default" w:ascii="宋体" w:hAnsi="宋体"/>
          <w:sz w:val="24"/>
          <w:lang w:eastAsia="zh-Hans"/>
        </w:rPr>
        <w:t>、</w:t>
      </w:r>
      <w:r>
        <w:rPr>
          <w:rFonts w:hint="eastAsia" w:ascii="宋体" w:hAnsi="宋体"/>
          <w:sz w:val="24"/>
          <w:lang w:val="en-US" w:eastAsia="zh-Hans"/>
        </w:rPr>
        <w:t>通关一体化的实施等使</w:t>
      </w:r>
      <w:r>
        <w:rPr>
          <w:rFonts w:hint="eastAsia" w:ascii="宋体" w:hAnsi="宋体"/>
          <w:sz w:val="24"/>
        </w:rPr>
        <w:t>长三角地区成为</w:t>
      </w:r>
      <w:r>
        <w:rPr>
          <w:rFonts w:hint="eastAsia" w:ascii="宋体" w:hAnsi="宋体"/>
          <w:sz w:val="24"/>
          <w:lang w:val="en-US" w:eastAsia="zh-Hans"/>
        </w:rPr>
        <w:t>重要的经济一体化区域</w:t>
      </w:r>
      <w:r>
        <w:rPr>
          <w:rFonts w:hint="eastAsia" w:ascii="宋体" w:hAnsi="宋体"/>
          <w:sz w:val="24"/>
          <w:lang w:val="en-US" w:eastAsia="zh-CN"/>
        </w:rPr>
        <w:t>。</w:t>
      </w:r>
    </w:p>
    <w:p>
      <w:pPr>
        <w:snapToGrid w:val="0"/>
        <w:spacing w:line="360" w:lineRule="auto"/>
        <w:ind w:firstLine="540" w:firstLineChars="225"/>
        <w:rPr>
          <w:rFonts w:hint="eastAsia" w:ascii="宋体" w:hAnsi="宋体"/>
          <w:sz w:val="24"/>
          <w:lang w:eastAsia="zh-Hans"/>
        </w:rPr>
      </w:pPr>
      <w:r>
        <w:rPr>
          <w:rFonts w:hint="eastAsia" w:ascii="宋体" w:hAnsi="宋体"/>
          <w:sz w:val="24"/>
          <w:lang w:val="en-US" w:eastAsia="zh-CN"/>
        </w:rPr>
        <w:t>2021年6月7日，长三角开放平台联动合作论坛上提出要建设“三地”打造“五个长三角”。其中“</w:t>
      </w:r>
      <w:r>
        <w:rPr>
          <w:rFonts w:hint="default" w:ascii="宋体" w:hAnsi="宋体"/>
          <w:sz w:val="24"/>
          <w:lang w:eastAsia="zh-Hans"/>
        </w:rPr>
        <w:t>枢纽长三角</w:t>
      </w:r>
      <w:r>
        <w:rPr>
          <w:rFonts w:hint="default" w:ascii="宋体" w:hAnsi="宋体"/>
          <w:sz w:val="24"/>
          <w:lang w:val="en-US" w:eastAsia="zh-CN"/>
        </w:rPr>
        <w:t>”</w:t>
      </w:r>
      <w:r>
        <w:rPr>
          <w:rFonts w:hint="default" w:ascii="宋体" w:hAnsi="宋体"/>
          <w:sz w:val="24"/>
          <w:lang w:eastAsia="zh-Hans"/>
        </w:rPr>
        <w:t>，</w:t>
      </w:r>
      <w:r>
        <w:rPr>
          <w:rFonts w:hint="eastAsia" w:ascii="宋体" w:hAnsi="宋体"/>
          <w:sz w:val="24"/>
          <w:lang w:val="en-US" w:eastAsia="zh-CN"/>
        </w:rPr>
        <w:t>就是要</w:t>
      </w:r>
      <w:r>
        <w:rPr>
          <w:rFonts w:hint="default" w:ascii="宋体" w:hAnsi="宋体"/>
          <w:sz w:val="24"/>
          <w:lang w:eastAsia="zh-Hans"/>
        </w:rPr>
        <w:t>加强产业链、供应链共同发展，推进科技、金融、人才高端资源的集聚，发挥长三角在稳定国际产业链、供应链方面的重要作用，加快国际航运枢纽建设</w:t>
      </w:r>
      <w:r>
        <w:rPr>
          <w:rFonts w:hint="eastAsia" w:ascii="宋体" w:hAnsi="宋体"/>
          <w:sz w:val="24"/>
          <w:lang w:eastAsia="zh-CN"/>
        </w:rPr>
        <w:t>，</w:t>
      </w:r>
      <w:r>
        <w:rPr>
          <w:rFonts w:hint="default" w:ascii="宋体" w:hAnsi="宋体"/>
          <w:sz w:val="24"/>
          <w:lang w:eastAsia="zh-Hans"/>
        </w:rPr>
        <w:t>加快长三角中欧班列建设。使航空货运中欧班列成为长三角参与“一带一路”建设的重要贸易畅通载体。</w:t>
      </w:r>
      <w:r>
        <w:rPr>
          <w:rFonts w:hint="eastAsia" w:ascii="宋体" w:hAnsi="宋体"/>
          <w:sz w:val="24"/>
          <w:lang w:val="en-US" w:eastAsia="zh-CN"/>
        </w:rPr>
        <w:t>共同推动长三角一体化发展。在此背景下，外贸、货代等行业必将迎来新的机遇，</w:t>
      </w:r>
      <w:r>
        <w:rPr>
          <w:rFonts w:hint="eastAsia" w:ascii="宋体" w:hAnsi="宋体"/>
          <w:sz w:val="24"/>
        </w:rPr>
        <w:t>发展前景</w:t>
      </w:r>
      <w:r>
        <w:rPr>
          <w:rFonts w:hint="eastAsia" w:ascii="宋体" w:hAnsi="宋体"/>
          <w:sz w:val="24"/>
          <w:lang w:val="en-US" w:eastAsia="zh-Hans"/>
        </w:rPr>
        <w:t>广阔</w:t>
      </w:r>
      <w:r>
        <w:rPr>
          <w:rFonts w:hint="default" w:ascii="宋体" w:hAnsi="宋体"/>
          <w:sz w:val="24"/>
          <w:lang w:eastAsia="zh-Hans"/>
        </w:rPr>
        <w:t>。</w:t>
      </w:r>
    </w:p>
    <w:p>
      <w:pPr>
        <w:snapToGrid w:val="0"/>
        <w:spacing w:line="360" w:lineRule="auto"/>
        <w:ind w:firstLine="542" w:firstLineChars="225"/>
        <w:rPr>
          <w:rFonts w:hint="eastAsia" w:ascii="宋体" w:hAnsi="宋体"/>
          <w:b/>
          <w:sz w:val="24"/>
        </w:rPr>
      </w:pPr>
      <w:r>
        <w:rPr>
          <w:rFonts w:hint="eastAsia" w:ascii="宋体" w:hAnsi="宋体"/>
          <w:b/>
          <w:sz w:val="24"/>
        </w:rPr>
        <w:t>2.</w:t>
      </w:r>
      <w:r>
        <w:rPr>
          <w:rFonts w:ascii="宋体" w:hAnsi="宋体" w:cs="宋体"/>
          <w:b/>
          <w:kern w:val="0"/>
          <w:sz w:val="24"/>
        </w:rPr>
        <w:t>社会需求</w:t>
      </w:r>
    </w:p>
    <w:p>
      <w:pPr>
        <w:snapToGrid w:val="0"/>
        <w:spacing w:line="360" w:lineRule="auto"/>
        <w:ind w:firstLine="540" w:firstLineChars="225"/>
        <w:rPr>
          <w:rFonts w:hint="eastAsia" w:ascii="宋体" w:hAnsi="宋体"/>
          <w:sz w:val="24"/>
        </w:rPr>
      </w:pPr>
      <w:r>
        <w:rPr>
          <w:rFonts w:hint="eastAsia" w:ascii="宋体" w:hAnsi="宋体"/>
          <w:sz w:val="24"/>
        </w:rPr>
        <w:t>长三角地区港口经济和对外贸易发展步伐</w:t>
      </w:r>
      <w:r>
        <w:rPr>
          <w:rFonts w:hint="eastAsia" w:ascii="宋体" w:hAnsi="宋体"/>
          <w:sz w:val="24"/>
          <w:lang w:val="en-US" w:eastAsia="zh-CN"/>
        </w:rPr>
        <w:t>的进一步</w:t>
      </w:r>
      <w:r>
        <w:rPr>
          <w:rFonts w:hint="eastAsia" w:ascii="宋体" w:hAnsi="宋体"/>
          <w:sz w:val="24"/>
        </w:rPr>
        <w:t>加快，</w:t>
      </w:r>
      <w:r>
        <w:rPr>
          <w:rFonts w:hint="eastAsia" w:ascii="宋体" w:hAnsi="宋体"/>
          <w:sz w:val="24"/>
          <w:lang w:val="en-US" w:eastAsia="zh-CN"/>
        </w:rPr>
        <w:t>使</w:t>
      </w:r>
      <w:r>
        <w:rPr>
          <w:rFonts w:hint="eastAsia" w:ascii="宋体" w:hAnsi="宋体"/>
          <w:sz w:val="24"/>
        </w:rPr>
        <w:t>服务于港口、服务于国际贸易的国际货代业得到了迅速发展。目前,长三角地区80%的进出口贸易货物运输和中转业务，90%的国际航空货物运输业务都是通过国际货运代理企业完成的。长三角地区对报关、海运、港口贸易方面的人才需求</w:t>
      </w:r>
      <w:r>
        <w:rPr>
          <w:rFonts w:hint="eastAsia" w:ascii="宋体" w:hAnsi="宋体"/>
          <w:sz w:val="24"/>
          <w:lang w:val="en-US" w:eastAsia="zh-CN"/>
        </w:rPr>
        <w:t>不断增长</w:t>
      </w:r>
      <w:r>
        <w:rPr>
          <w:rFonts w:hint="eastAsia" w:ascii="宋体" w:hAnsi="宋体"/>
          <w:sz w:val="24"/>
        </w:rPr>
        <w:t>，对从业人员的要求</w:t>
      </w:r>
      <w:r>
        <w:rPr>
          <w:rFonts w:hint="eastAsia" w:ascii="宋体" w:hAnsi="宋体"/>
          <w:sz w:val="24"/>
          <w:lang w:val="en-US" w:eastAsia="zh-CN"/>
        </w:rPr>
        <w:t>越来越</w:t>
      </w:r>
      <w:r>
        <w:rPr>
          <w:rFonts w:hint="eastAsia" w:ascii="宋体" w:hAnsi="宋体"/>
          <w:sz w:val="24"/>
        </w:rPr>
        <w:t>高。保守估计，长三角地区从事外贸业务或经营范围涉及以国际供应链物流业务为主的企业总数在5万家以上，专业人才需求平均数为4人/家，未来长三角地区对</w:t>
      </w:r>
      <w:r>
        <w:rPr>
          <w:rFonts w:hint="eastAsia" w:ascii="宋体" w:hAnsi="宋体"/>
          <w:sz w:val="24"/>
          <w:lang w:val="en-US" w:eastAsia="zh-Hans"/>
        </w:rPr>
        <w:t>本</w:t>
      </w:r>
      <w:r>
        <w:rPr>
          <w:rFonts w:hint="eastAsia" w:ascii="宋体" w:hAnsi="宋体"/>
          <w:sz w:val="24"/>
        </w:rPr>
        <w:t>专业人才需求在20万以上，需求量巨大。</w:t>
      </w:r>
    </w:p>
    <w:p>
      <w:pPr>
        <w:snapToGrid w:val="0"/>
        <w:spacing w:line="360" w:lineRule="auto"/>
        <w:ind w:firstLine="542" w:firstLineChars="225"/>
        <w:rPr>
          <w:rFonts w:hint="eastAsia" w:ascii="宋体" w:hAnsi="宋体" w:cs="宋体"/>
          <w:b/>
          <w:kern w:val="0"/>
          <w:sz w:val="24"/>
        </w:rPr>
      </w:pPr>
      <w:r>
        <w:rPr>
          <w:rFonts w:hint="eastAsia" w:ascii="宋体" w:hAnsi="宋体" w:cs="宋体"/>
          <w:b/>
          <w:kern w:val="0"/>
          <w:sz w:val="24"/>
        </w:rPr>
        <w:t>3.</w:t>
      </w:r>
      <w:r>
        <w:rPr>
          <w:rFonts w:ascii="宋体" w:hAnsi="宋体" w:cs="宋体"/>
          <w:b/>
          <w:kern w:val="0"/>
          <w:sz w:val="24"/>
        </w:rPr>
        <w:t>就业岗位</w:t>
      </w:r>
    </w:p>
    <w:p>
      <w:pPr>
        <w:snapToGrid w:val="0"/>
        <w:spacing w:line="360" w:lineRule="auto"/>
        <w:ind w:firstLine="540" w:firstLineChars="225"/>
        <w:rPr>
          <w:rFonts w:hint="eastAsia" w:ascii="宋体" w:hAnsi="宋体"/>
          <w:sz w:val="24"/>
        </w:rPr>
      </w:pPr>
      <w:r>
        <w:rPr>
          <w:rFonts w:hint="eastAsia" w:ascii="宋体" w:hAnsi="宋体"/>
          <w:sz w:val="24"/>
          <w:lang w:val="en-US" w:eastAsia="zh-Hans"/>
        </w:rPr>
        <w:t>毕业生主要从事外贸商务</w:t>
      </w:r>
      <w:r>
        <w:rPr>
          <w:rFonts w:hint="default" w:ascii="宋体" w:hAnsi="宋体"/>
          <w:sz w:val="24"/>
          <w:lang w:eastAsia="zh-Hans"/>
        </w:rPr>
        <w:t>、</w:t>
      </w:r>
      <w:r>
        <w:rPr>
          <w:rFonts w:hint="eastAsia" w:ascii="宋体" w:hAnsi="宋体"/>
          <w:sz w:val="24"/>
          <w:lang w:val="en-US" w:eastAsia="zh-Hans"/>
        </w:rPr>
        <w:t>外贸单证操作</w:t>
      </w:r>
      <w:r>
        <w:rPr>
          <w:rFonts w:hint="default" w:ascii="宋体" w:hAnsi="宋体"/>
          <w:sz w:val="24"/>
          <w:lang w:eastAsia="zh-Hans"/>
        </w:rPr>
        <w:t>、</w:t>
      </w:r>
      <w:r>
        <w:rPr>
          <w:rFonts w:hint="eastAsia" w:ascii="宋体" w:hAnsi="宋体"/>
          <w:sz w:val="24"/>
          <w:lang w:val="en-US" w:eastAsia="zh-Hans"/>
        </w:rPr>
        <w:t>跨境电商营销</w:t>
      </w:r>
      <w:r>
        <w:rPr>
          <w:rFonts w:hint="default" w:ascii="宋体" w:hAnsi="宋体"/>
          <w:sz w:val="24"/>
          <w:lang w:eastAsia="zh-Hans"/>
        </w:rPr>
        <w:t>、</w:t>
      </w:r>
      <w:r>
        <w:rPr>
          <w:rFonts w:hint="eastAsia" w:ascii="宋体" w:hAnsi="宋体"/>
          <w:sz w:val="24"/>
          <w:lang w:val="en-US" w:eastAsia="zh-Hans"/>
        </w:rPr>
        <w:t>关务咨询</w:t>
      </w:r>
      <w:r>
        <w:rPr>
          <w:rFonts w:hint="default" w:ascii="宋体" w:hAnsi="宋体"/>
          <w:sz w:val="24"/>
          <w:lang w:eastAsia="zh-Hans"/>
        </w:rPr>
        <w:t>、</w:t>
      </w:r>
      <w:r>
        <w:rPr>
          <w:rFonts w:hint="eastAsia" w:ascii="宋体" w:hAnsi="宋体"/>
          <w:sz w:val="24"/>
          <w:lang w:val="en-US" w:eastAsia="zh-Hans"/>
        </w:rPr>
        <w:t>关务操作</w:t>
      </w:r>
      <w:r>
        <w:rPr>
          <w:rFonts w:hint="default" w:ascii="宋体" w:hAnsi="宋体"/>
          <w:sz w:val="24"/>
          <w:lang w:eastAsia="zh-Hans"/>
        </w:rPr>
        <w:t>、</w:t>
      </w:r>
      <w:r>
        <w:rPr>
          <w:rFonts w:hint="eastAsia" w:ascii="宋体" w:hAnsi="宋体"/>
          <w:sz w:val="24"/>
          <w:lang w:val="en-US" w:eastAsia="zh-Hans"/>
        </w:rPr>
        <w:t>报关报检</w:t>
      </w:r>
      <w:r>
        <w:rPr>
          <w:rFonts w:hint="default" w:ascii="宋体" w:hAnsi="宋体"/>
          <w:sz w:val="24"/>
          <w:lang w:eastAsia="zh-Hans"/>
        </w:rPr>
        <w:t>、进出口商品预归类、</w:t>
      </w:r>
      <w:r>
        <w:rPr>
          <w:rFonts w:hint="eastAsia" w:ascii="宋体" w:hAnsi="宋体"/>
          <w:sz w:val="24"/>
          <w:lang w:val="en-US" w:eastAsia="zh-Hans"/>
        </w:rPr>
        <w:t>国际货代业务操作</w:t>
      </w:r>
      <w:r>
        <w:rPr>
          <w:rFonts w:hint="default" w:ascii="宋体" w:hAnsi="宋体"/>
          <w:sz w:val="24"/>
          <w:lang w:eastAsia="zh-Hans"/>
        </w:rPr>
        <w:t>、</w:t>
      </w:r>
      <w:r>
        <w:rPr>
          <w:rFonts w:hint="eastAsia" w:ascii="宋体" w:hAnsi="宋体"/>
          <w:sz w:val="24"/>
          <w:lang w:val="en-US" w:eastAsia="zh-Hans"/>
        </w:rPr>
        <w:t>物流管理等工作</w:t>
      </w:r>
      <w:r>
        <w:rPr>
          <w:rFonts w:hint="default" w:ascii="宋体" w:hAnsi="宋体"/>
          <w:sz w:val="24"/>
          <w:lang w:eastAsia="zh-Hans"/>
        </w:rPr>
        <w:t>；</w:t>
      </w:r>
      <w:r>
        <w:rPr>
          <w:rFonts w:hint="eastAsia" w:ascii="宋体" w:hAnsi="宋体"/>
          <w:sz w:val="24"/>
        </w:rPr>
        <w:t>主要就业岗位包括：报关员、</w:t>
      </w:r>
      <w:r>
        <w:rPr>
          <w:rFonts w:hint="eastAsia" w:ascii="宋体" w:hAnsi="宋体"/>
          <w:sz w:val="24"/>
          <w:lang w:val="en-US" w:eastAsia="zh-Hans"/>
        </w:rPr>
        <w:t>商品归类员</w:t>
      </w:r>
      <w:r>
        <w:rPr>
          <w:rFonts w:hint="default" w:ascii="宋体" w:hAnsi="宋体"/>
          <w:sz w:val="24"/>
          <w:lang w:eastAsia="zh-Hans"/>
        </w:rPr>
        <w:t>、</w:t>
      </w:r>
      <w:r>
        <w:rPr>
          <w:rFonts w:hint="eastAsia" w:ascii="宋体" w:hAnsi="宋体"/>
          <w:sz w:val="24"/>
          <w:lang w:val="en-US" w:eastAsia="zh-CN"/>
        </w:rPr>
        <w:t>外贸业务员、</w:t>
      </w:r>
      <w:r>
        <w:rPr>
          <w:rFonts w:hint="eastAsia" w:ascii="宋体" w:hAnsi="宋体"/>
          <w:sz w:val="24"/>
        </w:rPr>
        <w:t>外贸单证员</w:t>
      </w:r>
      <w:r>
        <w:rPr>
          <w:rFonts w:hint="eastAsia" w:ascii="宋体" w:hAnsi="宋体"/>
          <w:sz w:val="24"/>
          <w:lang w:eastAsia="zh-CN"/>
        </w:rPr>
        <w:t>、</w:t>
      </w:r>
      <w:r>
        <w:rPr>
          <w:rFonts w:hint="eastAsia" w:ascii="宋体" w:hAnsi="宋体"/>
          <w:sz w:val="24"/>
          <w:lang w:val="en-US" w:eastAsia="zh-Hans"/>
        </w:rPr>
        <w:t>关务顾问</w:t>
      </w:r>
      <w:r>
        <w:rPr>
          <w:rFonts w:hint="default" w:ascii="宋体" w:hAnsi="宋体"/>
          <w:sz w:val="24"/>
          <w:lang w:eastAsia="zh-Hans"/>
        </w:rPr>
        <w:t>、</w:t>
      </w:r>
      <w:r>
        <w:rPr>
          <w:rFonts w:hint="eastAsia" w:ascii="宋体" w:hAnsi="宋体"/>
          <w:sz w:val="24"/>
        </w:rPr>
        <w:t>国际货代员等。</w:t>
      </w:r>
    </w:p>
    <w:p>
      <w:pPr>
        <w:snapToGrid w:val="0"/>
        <w:spacing w:line="360" w:lineRule="auto"/>
        <w:jc w:val="center"/>
        <w:rPr>
          <w:rFonts w:hint="eastAsia"/>
        </w:rPr>
      </w:pPr>
      <w:r>
        <w:drawing>
          <wp:inline distT="0" distB="0" distL="114300" distR="114300">
            <wp:extent cx="5266690" cy="2758440"/>
            <wp:effectExtent l="0" t="0" r="16510" b="1016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5"/>
                    <a:stretch>
                      <a:fillRect/>
                    </a:stretch>
                  </pic:blipFill>
                  <pic:spPr>
                    <a:xfrm>
                      <a:off x="0" y="0"/>
                      <a:ext cx="5266690" cy="2758440"/>
                    </a:xfrm>
                    <a:prstGeom prst="rect">
                      <a:avLst/>
                    </a:prstGeom>
                    <a:noFill/>
                    <a:ln>
                      <a:noFill/>
                    </a:ln>
                  </pic:spPr>
                </pic:pic>
              </a:graphicData>
            </a:graphic>
          </wp:inline>
        </w:drawing>
      </w:r>
    </w:p>
    <w:p>
      <w:pPr>
        <w:snapToGrid w:val="0"/>
        <w:spacing w:line="360" w:lineRule="auto"/>
        <w:ind w:firstLine="542" w:firstLineChars="225"/>
        <w:rPr>
          <w:rFonts w:hint="eastAsia" w:ascii="宋体" w:hAnsi="宋体" w:cs="宋体"/>
          <w:b/>
          <w:kern w:val="0"/>
          <w:sz w:val="24"/>
        </w:rPr>
      </w:pPr>
      <w:r>
        <w:rPr>
          <w:rFonts w:hint="eastAsia" w:ascii="宋体" w:hAnsi="宋体" w:cs="宋体"/>
          <w:b/>
          <w:kern w:val="0"/>
          <w:sz w:val="24"/>
        </w:rPr>
        <w:t>二、</w:t>
      </w:r>
      <w:r>
        <w:rPr>
          <w:rFonts w:ascii="宋体" w:hAnsi="宋体" w:cs="宋体"/>
          <w:b/>
          <w:kern w:val="0"/>
          <w:sz w:val="24"/>
        </w:rPr>
        <w:t>特色与优势</w:t>
      </w:r>
    </w:p>
    <w:p>
      <w:pPr>
        <w:snapToGrid w:val="0"/>
        <w:spacing w:line="360" w:lineRule="auto"/>
        <w:ind w:firstLine="542" w:firstLineChars="225"/>
        <w:rPr>
          <w:rFonts w:hint="eastAsia" w:ascii="宋体" w:hAnsi="宋体" w:cs="宋体"/>
          <w:b/>
          <w:kern w:val="0"/>
          <w:sz w:val="24"/>
        </w:rPr>
      </w:pPr>
      <w:r>
        <w:rPr>
          <w:rFonts w:hint="eastAsia" w:ascii="宋体" w:hAnsi="宋体" w:cs="宋体"/>
          <w:b/>
          <w:kern w:val="0"/>
          <w:sz w:val="24"/>
        </w:rPr>
        <w:t>1.</w:t>
      </w:r>
      <w:r>
        <w:rPr>
          <w:rFonts w:ascii="宋体" w:hAnsi="宋体" w:cs="宋体"/>
          <w:b/>
          <w:kern w:val="0"/>
          <w:sz w:val="24"/>
        </w:rPr>
        <w:t>核心课程</w:t>
      </w:r>
    </w:p>
    <w:p>
      <w:pPr>
        <w:snapToGrid w:val="0"/>
        <w:spacing w:line="360" w:lineRule="auto"/>
        <w:ind w:firstLine="540" w:firstLineChars="225"/>
        <w:rPr>
          <w:rFonts w:hint="eastAsia" w:ascii="宋体" w:hAnsi="宋体" w:eastAsia="宋体" w:cs="宋体"/>
          <w:kern w:val="0"/>
          <w:sz w:val="24"/>
        </w:rPr>
      </w:pPr>
      <w:r>
        <w:rPr>
          <w:rFonts w:hint="eastAsia" w:ascii="宋体" w:hAnsi="宋体" w:eastAsia="宋体" w:cs="宋体"/>
          <w:kern w:val="0"/>
          <w:sz w:val="24"/>
        </w:rPr>
        <w:t>对接专业岗位职业能力分析,确定培养核心职业能力所需的知识和理论基础，使课程设置符合社会经济发展及职业发展需要。</w:t>
      </w:r>
    </w:p>
    <w:p>
      <w:pPr>
        <w:snapToGrid w:val="0"/>
        <w:spacing w:line="360" w:lineRule="auto"/>
        <w:jc w:val="both"/>
        <w:rPr>
          <w:rFonts w:hint="eastAsia" w:ascii="宋体" w:hAnsi="宋体" w:cs="宋体"/>
          <w:kern w:val="0"/>
          <w:sz w:val="24"/>
        </w:rPr>
      </w:pPr>
      <w:r>
        <w:drawing>
          <wp:inline distT="0" distB="0" distL="114300" distR="114300">
            <wp:extent cx="5269865" cy="2824480"/>
            <wp:effectExtent l="0" t="0" r="13335" b="2032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6"/>
                    <a:stretch>
                      <a:fillRect/>
                    </a:stretch>
                  </pic:blipFill>
                  <pic:spPr>
                    <a:xfrm>
                      <a:off x="0" y="0"/>
                      <a:ext cx="5269865" cy="2824480"/>
                    </a:xfrm>
                    <a:prstGeom prst="rect">
                      <a:avLst/>
                    </a:prstGeom>
                    <a:noFill/>
                    <a:ln>
                      <a:noFill/>
                    </a:ln>
                  </pic:spPr>
                </pic:pic>
              </a:graphicData>
            </a:graphic>
          </wp:inline>
        </w:drawing>
      </w:r>
    </w:p>
    <w:p>
      <w:pPr>
        <w:snapToGrid w:val="0"/>
        <w:spacing w:line="360" w:lineRule="auto"/>
        <w:ind w:firstLine="540" w:firstLineChars="225"/>
        <w:rPr>
          <w:rFonts w:hint="eastAsia" w:ascii="宋体" w:hAnsi="宋体" w:cs="宋体"/>
          <w:kern w:val="0"/>
          <w:sz w:val="24"/>
        </w:rPr>
      </w:pPr>
      <w:r>
        <w:rPr>
          <w:rFonts w:hint="eastAsia" w:ascii="宋体" w:hAnsi="宋体" w:cs="宋体"/>
          <w:kern w:val="0"/>
          <w:sz w:val="24"/>
        </w:rPr>
        <w:t>本专业核心课程包括国际贸易实务</w:t>
      </w:r>
      <w:r>
        <w:rPr>
          <w:rFonts w:hint="eastAsia" w:ascii="宋体" w:hAnsi="宋体" w:cs="宋体"/>
          <w:kern w:val="0"/>
          <w:sz w:val="24"/>
          <w:lang w:eastAsia="zh-CN"/>
        </w:rPr>
        <w:t>、</w:t>
      </w:r>
      <w:r>
        <w:rPr>
          <w:rFonts w:hint="eastAsia" w:ascii="宋体" w:hAnsi="宋体" w:cs="宋体"/>
          <w:kern w:val="0"/>
          <w:sz w:val="24"/>
        </w:rPr>
        <w:t>外贸单证实务</w:t>
      </w:r>
      <w:r>
        <w:rPr>
          <w:rFonts w:hint="eastAsia" w:ascii="宋体" w:hAnsi="宋体" w:cs="宋体"/>
          <w:kern w:val="0"/>
          <w:sz w:val="24"/>
          <w:lang w:eastAsia="zh-CN"/>
        </w:rPr>
        <w:t>、</w:t>
      </w:r>
      <w:r>
        <w:rPr>
          <w:rFonts w:hint="eastAsia" w:ascii="宋体" w:hAnsi="宋体" w:cs="宋体"/>
          <w:kern w:val="0"/>
          <w:sz w:val="24"/>
        </w:rPr>
        <w:t>商品归类实务</w:t>
      </w:r>
      <w:r>
        <w:rPr>
          <w:rFonts w:hint="eastAsia" w:ascii="宋体" w:hAnsi="宋体" w:cs="宋体"/>
          <w:kern w:val="0"/>
          <w:sz w:val="24"/>
          <w:lang w:eastAsia="zh-CN"/>
        </w:rPr>
        <w:t>、</w:t>
      </w:r>
      <w:r>
        <w:rPr>
          <w:rFonts w:hint="eastAsia" w:ascii="宋体" w:hAnsi="宋体" w:cs="宋体"/>
          <w:kern w:val="0"/>
          <w:sz w:val="24"/>
        </w:rPr>
        <w:t>海关通关实务</w:t>
      </w:r>
      <w:r>
        <w:rPr>
          <w:rFonts w:hint="eastAsia" w:ascii="宋体" w:hAnsi="宋体" w:cs="宋体"/>
          <w:kern w:val="0"/>
          <w:sz w:val="24"/>
          <w:lang w:eastAsia="zh-CN"/>
        </w:rPr>
        <w:t>、</w:t>
      </w:r>
      <w:r>
        <w:rPr>
          <w:rFonts w:hint="eastAsia" w:ascii="宋体" w:hAnsi="宋体" w:cs="宋体"/>
          <w:kern w:val="0"/>
          <w:sz w:val="24"/>
        </w:rPr>
        <w:t>国际货代专业英语</w:t>
      </w:r>
      <w:r>
        <w:rPr>
          <w:rFonts w:hint="eastAsia" w:ascii="宋体" w:hAnsi="宋体" w:cs="宋体"/>
          <w:kern w:val="0"/>
          <w:sz w:val="24"/>
          <w:lang w:eastAsia="zh-CN"/>
        </w:rPr>
        <w:t>、</w:t>
      </w:r>
      <w:r>
        <w:rPr>
          <w:rFonts w:hint="eastAsia" w:ascii="宋体" w:hAnsi="宋体" w:cs="宋体"/>
          <w:kern w:val="0"/>
          <w:sz w:val="24"/>
          <w:lang w:val="en-US" w:eastAsia="zh-Hans"/>
        </w:rPr>
        <w:t>国</w:t>
      </w:r>
      <w:r>
        <w:rPr>
          <w:rFonts w:hint="eastAsia" w:ascii="宋体" w:hAnsi="宋体" w:cs="宋体"/>
          <w:kern w:val="0"/>
          <w:sz w:val="24"/>
        </w:rPr>
        <w:t>际货运代理实务等。</w:t>
      </w:r>
    </w:p>
    <w:p>
      <w:pPr>
        <w:snapToGrid w:val="0"/>
        <w:spacing w:line="360" w:lineRule="auto"/>
        <w:ind w:firstLine="542" w:firstLineChars="225"/>
        <w:rPr>
          <w:rFonts w:hint="eastAsia" w:ascii="宋体" w:hAnsi="宋体" w:cs="宋体"/>
          <w:b/>
          <w:kern w:val="0"/>
          <w:sz w:val="24"/>
        </w:rPr>
      </w:pPr>
      <w:r>
        <w:rPr>
          <w:rFonts w:hint="eastAsia" w:ascii="宋体" w:hAnsi="宋体" w:cs="宋体"/>
          <w:b/>
          <w:kern w:val="0"/>
          <w:sz w:val="24"/>
        </w:rPr>
        <w:t>2.</w:t>
      </w:r>
      <w:r>
        <w:rPr>
          <w:rFonts w:ascii="宋体" w:hAnsi="宋体" w:cs="宋体"/>
          <w:b/>
          <w:kern w:val="0"/>
          <w:sz w:val="24"/>
        </w:rPr>
        <w:t>师资力量</w:t>
      </w:r>
    </w:p>
    <w:p>
      <w:pPr>
        <w:spacing w:line="360" w:lineRule="auto"/>
        <w:ind w:firstLine="480" w:firstLineChars="200"/>
        <w:contextualSpacing/>
        <w:rPr>
          <w:rFonts w:hint="eastAsia" w:ascii="宋体" w:hAnsi="宋体"/>
          <w:color w:val="auto"/>
          <w:kern w:val="0"/>
          <w:sz w:val="24"/>
          <w:highlight w:val="none"/>
          <w:lang w:eastAsia="zh-CN"/>
        </w:rPr>
      </w:pPr>
      <w:r>
        <w:rPr>
          <w:rFonts w:hint="eastAsia" w:ascii="宋体" w:hAnsi="宋体"/>
          <w:color w:val="auto"/>
          <w:kern w:val="0"/>
          <w:sz w:val="24"/>
          <w:highlight w:val="none"/>
        </w:rPr>
        <w:t>关务与外贸服务专业共有10名专任教师，学生数与本专业专任教师数比例不高于5:1。其中，双师素质教师比例达到90%</w:t>
      </w:r>
      <w:r>
        <w:rPr>
          <w:rFonts w:hint="eastAsia" w:ascii="宋体" w:hAnsi="宋体"/>
          <w:color w:val="auto"/>
          <w:kern w:val="0"/>
          <w:sz w:val="24"/>
          <w:highlight w:val="none"/>
          <w:lang w:eastAsia="zh-CN"/>
        </w:rPr>
        <w:t>；</w:t>
      </w:r>
      <w:r>
        <w:rPr>
          <w:rFonts w:hint="eastAsia" w:ascii="宋体" w:hAnsi="宋体"/>
          <w:color w:val="auto"/>
          <w:kern w:val="0"/>
          <w:sz w:val="24"/>
          <w:highlight w:val="none"/>
        </w:rPr>
        <w:t>高级职称4名、中级职称5名、初级职称1名</w:t>
      </w:r>
      <w:r>
        <w:rPr>
          <w:rFonts w:hint="eastAsia" w:ascii="宋体" w:hAnsi="宋体"/>
          <w:color w:val="auto"/>
          <w:kern w:val="0"/>
          <w:sz w:val="24"/>
          <w:highlight w:val="none"/>
          <w:lang w:eastAsia="zh-CN"/>
        </w:rPr>
        <w:t>；</w:t>
      </w:r>
    </w:p>
    <w:p>
      <w:pPr>
        <w:spacing w:line="360" w:lineRule="auto"/>
        <w:ind w:firstLine="420" w:firstLineChars="200"/>
        <w:contextualSpacing/>
      </w:pPr>
      <w:r>
        <w:drawing>
          <wp:inline distT="0" distB="0" distL="114300" distR="114300">
            <wp:extent cx="4572000" cy="2743200"/>
            <wp:effectExtent l="4445" t="4445" r="8255" b="46355"/>
            <wp:docPr id="18"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pPr>
        <w:spacing w:line="360" w:lineRule="auto"/>
        <w:ind w:firstLine="480" w:firstLineChars="200"/>
        <w:contextualSpacing/>
        <w:rPr>
          <w:rFonts w:hint="eastAsia" w:ascii="宋体" w:hAnsi="宋体" w:cs="宋体"/>
          <w:kern w:val="0"/>
          <w:sz w:val="24"/>
          <w:lang w:eastAsia="zh-CN"/>
        </w:rPr>
      </w:pPr>
      <w:r>
        <w:rPr>
          <w:rFonts w:hint="eastAsia" w:ascii="宋体" w:hAnsi="宋体" w:cs="宋体"/>
          <w:kern w:val="0"/>
          <w:sz w:val="24"/>
        </w:rPr>
        <w:t>博士研究生1人，硕士研究生</w:t>
      </w:r>
      <w:r>
        <w:rPr>
          <w:rFonts w:hint="eastAsia" w:ascii="宋体" w:hAnsi="宋体" w:cs="宋体"/>
          <w:kern w:val="0"/>
          <w:sz w:val="24"/>
          <w:lang w:val="en-US" w:eastAsia="zh-CN"/>
        </w:rPr>
        <w:t>9</w:t>
      </w:r>
      <w:r>
        <w:rPr>
          <w:rFonts w:hint="eastAsia" w:ascii="宋体" w:hAnsi="宋体" w:cs="宋体"/>
          <w:kern w:val="0"/>
          <w:sz w:val="24"/>
        </w:rPr>
        <w:t>人</w:t>
      </w:r>
      <w:r>
        <w:rPr>
          <w:rFonts w:hint="eastAsia" w:ascii="宋体" w:hAnsi="宋体" w:cs="宋体"/>
          <w:kern w:val="0"/>
          <w:sz w:val="24"/>
          <w:lang w:eastAsia="zh-CN"/>
        </w:rPr>
        <w:t>；</w:t>
      </w:r>
    </w:p>
    <w:p>
      <w:pPr>
        <w:spacing w:line="360" w:lineRule="auto"/>
        <w:ind w:firstLine="480" w:firstLineChars="200"/>
        <w:contextualSpacing/>
        <w:rPr>
          <w:rFonts w:hint="eastAsia" w:ascii="宋体" w:hAnsi="宋体" w:cs="宋体"/>
          <w:kern w:val="0"/>
          <w:sz w:val="24"/>
          <w:lang w:eastAsia="zh-CN"/>
        </w:rPr>
      </w:pPr>
    </w:p>
    <w:p>
      <w:pPr>
        <w:spacing w:line="360" w:lineRule="auto"/>
        <w:ind w:firstLine="420" w:firstLineChars="200"/>
        <w:contextualSpacing/>
      </w:pPr>
      <w:r>
        <w:drawing>
          <wp:inline distT="0" distB="0" distL="114300" distR="114300">
            <wp:extent cx="4572000" cy="2743200"/>
            <wp:effectExtent l="4445" t="4445" r="8255" b="46355"/>
            <wp:docPr id="20"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pPr>
        <w:spacing w:line="360" w:lineRule="auto"/>
        <w:ind w:firstLine="480" w:firstLineChars="200"/>
        <w:contextualSpacing/>
        <w:rPr>
          <w:rFonts w:hint="eastAsia" w:ascii="宋体" w:hAnsi="宋体"/>
          <w:color w:val="auto"/>
          <w:kern w:val="0"/>
          <w:sz w:val="24"/>
          <w:highlight w:val="none"/>
        </w:rPr>
      </w:pPr>
      <w:r>
        <w:rPr>
          <w:rFonts w:hint="eastAsia" w:ascii="宋体" w:hAnsi="宋体"/>
          <w:color w:val="auto"/>
          <w:kern w:val="0"/>
          <w:sz w:val="24"/>
          <w:highlight w:val="none"/>
        </w:rPr>
        <w:t>50岁以上教师2名、40-49岁教师4名、30-39岁教师2名、30岁以下教师2名，形成合理的梯队结构。</w:t>
      </w:r>
    </w:p>
    <w:p>
      <w:pPr>
        <w:spacing w:line="360" w:lineRule="auto"/>
        <w:ind w:firstLine="420" w:firstLineChars="200"/>
        <w:contextualSpacing/>
      </w:pPr>
    </w:p>
    <w:p>
      <w:pPr>
        <w:spacing w:line="360" w:lineRule="auto"/>
        <w:ind w:firstLine="420" w:firstLineChars="200"/>
        <w:contextualSpacing/>
        <w:rPr>
          <w:rFonts w:hint="eastAsia"/>
        </w:rPr>
      </w:pPr>
      <w:r>
        <w:drawing>
          <wp:inline distT="0" distB="0" distL="114300" distR="114300">
            <wp:extent cx="4572000" cy="2743200"/>
            <wp:effectExtent l="4445" t="4445" r="8255" b="8255"/>
            <wp:docPr id="3"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pPr>
        <w:snapToGrid w:val="0"/>
        <w:spacing w:line="360" w:lineRule="auto"/>
        <w:ind w:firstLine="540" w:firstLineChars="225"/>
        <w:rPr>
          <w:rFonts w:hint="eastAsia" w:ascii="宋体" w:hAnsi="宋体" w:cs="宋体"/>
          <w:kern w:val="0"/>
          <w:sz w:val="24"/>
        </w:rPr>
      </w:pPr>
      <w:r>
        <w:rPr>
          <w:rFonts w:hint="eastAsia" w:ascii="宋体" w:hAnsi="宋体"/>
          <w:color w:val="auto"/>
          <w:kern w:val="0"/>
          <w:sz w:val="24"/>
          <w:highlight w:val="none"/>
        </w:rPr>
        <w:t>兼职教师主要从江苏地区货代行业的龙头企业聘任，</w:t>
      </w:r>
      <w:r>
        <w:rPr>
          <w:rFonts w:hint="eastAsia" w:ascii="宋体" w:hAnsi="宋体"/>
          <w:color w:val="auto"/>
          <w:kern w:val="0"/>
          <w:sz w:val="24"/>
          <w:highlight w:val="none"/>
          <w:lang w:val="en-US" w:eastAsia="zh-CN"/>
        </w:rPr>
        <w:t>如</w:t>
      </w:r>
      <w:r>
        <w:rPr>
          <w:rFonts w:hint="eastAsia" w:ascii="宋体" w:hAnsi="宋体" w:cs="宋体"/>
          <w:kern w:val="0"/>
          <w:sz w:val="24"/>
        </w:rPr>
        <w:t>中外运集装箱运输有限公司江苏分公司、南京海外国际货运代理公司</w:t>
      </w:r>
      <w:r>
        <w:rPr>
          <w:rFonts w:hint="eastAsia" w:ascii="宋体" w:hAnsi="宋体" w:cs="宋体"/>
          <w:kern w:val="0"/>
          <w:sz w:val="24"/>
          <w:lang w:val="en-US" w:eastAsia="zh-CN"/>
        </w:rPr>
        <w:t>等。</w:t>
      </w:r>
      <w:r>
        <w:rPr>
          <w:rFonts w:hint="eastAsia" w:ascii="宋体" w:hAnsi="宋体" w:cs="宋体"/>
          <w:kern w:val="0"/>
          <w:sz w:val="24"/>
        </w:rPr>
        <w:t>5位企业专家和技术骨干</w:t>
      </w:r>
      <w:r>
        <w:rPr>
          <w:rFonts w:hint="eastAsia" w:ascii="宋体" w:hAnsi="宋体" w:cs="宋体"/>
          <w:kern w:val="0"/>
          <w:sz w:val="24"/>
          <w:lang w:val="en-US" w:eastAsia="zh-CN"/>
        </w:rPr>
        <w:t>均</w:t>
      </w:r>
      <w:r>
        <w:rPr>
          <w:rFonts w:hint="eastAsia" w:ascii="宋体" w:hAnsi="宋体"/>
          <w:color w:val="auto"/>
          <w:kern w:val="0"/>
          <w:sz w:val="24"/>
          <w:highlight w:val="none"/>
        </w:rPr>
        <w:t>具备良好的思想政治素质、职业道德和工匠精神，具有扎实的专业知识和丰富的实际工作经验，能承担专业课程教学、实习实训指导和学生职业发展规划指导等教学任务。</w:t>
      </w:r>
    </w:p>
    <w:p>
      <w:pPr>
        <w:snapToGrid w:val="0"/>
        <w:spacing w:line="360" w:lineRule="auto"/>
        <w:ind w:firstLine="542" w:firstLineChars="225"/>
        <w:rPr>
          <w:rFonts w:hint="eastAsia" w:ascii="宋体" w:hAnsi="宋体" w:cs="宋体"/>
          <w:b/>
          <w:kern w:val="0"/>
          <w:sz w:val="24"/>
        </w:rPr>
      </w:pPr>
      <w:r>
        <w:rPr>
          <w:rFonts w:hint="eastAsia" w:ascii="宋体" w:hAnsi="宋体" w:cs="宋体"/>
          <w:b/>
          <w:kern w:val="0"/>
          <w:sz w:val="24"/>
        </w:rPr>
        <w:t>3.</w:t>
      </w:r>
      <w:r>
        <w:rPr>
          <w:rFonts w:ascii="宋体" w:hAnsi="宋体" w:cs="宋体"/>
          <w:b/>
          <w:kern w:val="0"/>
          <w:sz w:val="24"/>
        </w:rPr>
        <w:t>实习实训</w:t>
      </w:r>
    </w:p>
    <w:p>
      <w:pPr>
        <w:snapToGrid w:val="0"/>
        <w:spacing w:line="360" w:lineRule="auto"/>
        <w:ind w:firstLine="540" w:firstLineChars="225"/>
        <w:rPr>
          <w:rFonts w:hint="eastAsia" w:ascii="宋体" w:hAnsi="宋体" w:cs="宋体"/>
          <w:kern w:val="0"/>
          <w:sz w:val="24"/>
        </w:rPr>
      </w:pPr>
      <w:r>
        <w:rPr>
          <w:rFonts w:hint="eastAsia" w:ascii="宋体" w:hAnsi="宋体" w:cs="宋体"/>
          <w:kern w:val="0"/>
          <w:sz w:val="24"/>
        </w:rPr>
        <w:t>本专业建有设备先进、功效实用的校内实训基地和运行良好的校外实习基地。实训基地按基本技能训练区、专业技能训练区、综合技能训练区、创新创业训练区进行统筹规划，有机布局。</w:t>
      </w:r>
    </w:p>
    <w:p>
      <w:pPr>
        <w:snapToGrid w:val="0"/>
        <w:spacing w:line="360" w:lineRule="auto"/>
        <w:ind w:firstLine="540" w:firstLineChars="225"/>
        <w:rPr>
          <w:rFonts w:hint="eastAsia" w:ascii="宋体" w:hAnsi="宋体" w:cs="宋体"/>
          <w:kern w:val="0"/>
          <w:sz w:val="24"/>
        </w:rPr>
      </w:pPr>
      <w:r>
        <w:rPr>
          <w:rFonts w:hint="eastAsia" w:ascii="宋体" w:hAnsi="宋体" w:cs="宋体"/>
          <w:kern w:val="0"/>
          <w:sz w:val="24"/>
        </w:rPr>
        <w:t>2014年建设完成的智能口岸综合实训室为交通运输部重点支持交通运输骨干专业学科建设项目、中央财政支持职业教育实训基地。</w:t>
      </w:r>
    </w:p>
    <w:p>
      <w:pPr>
        <w:snapToGrid w:val="0"/>
        <w:spacing w:line="360" w:lineRule="auto"/>
        <w:ind w:firstLine="540" w:firstLineChars="225"/>
        <w:rPr>
          <w:rFonts w:hint="eastAsia" w:ascii="宋体" w:hAnsi="宋体" w:cs="宋体"/>
          <w:kern w:val="0"/>
          <w:sz w:val="24"/>
        </w:rPr>
      </w:pPr>
      <w:r>
        <w:rPr>
          <w:rFonts w:hint="eastAsia" w:ascii="宋体" w:hAnsi="宋体" w:cs="宋体"/>
          <w:kern w:val="0"/>
          <w:sz w:val="24"/>
        </w:rPr>
        <w:t>智能口岸综合实训室总投资近150万，场地面积近420平方。实训室以集装箱码头、散杂件码头作业为背景，以国际物流所涉及的报关、报检、货代、船代、集装箱堆场及在港装卸、散杂件在港装卸等作业流程为主线，将整个区域柔性划分为：国际物流进出口业务模拟区、集装箱堆场区、集装箱船在港装卸作业模拟区、散杂件在港装卸作业模拟区、港口作业管理模拟区等实训区域，可开展相关作业模拟训练，使学生掌握国际物流业务的订舱、配载、报关报检、转运、集拼等各种实际操作技能，同时对港口堆场、泊位的管理及港口机械使用有深入了解，能对港内活动进行科学调度与规划。</w:t>
      </w:r>
    </w:p>
    <w:p>
      <w:pPr>
        <w:snapToGrid w:val="0"/>
        <w:spacing w:line="360" w:lineRule="auto"/>
        <w:rPr>
          <w:rFonts w:hint="eastAsia" w:ascii="宋体" w:hAnsi="宋体" w:cs="宋体"/>
          <w:kern w:val="0"/>
          <w:sz w:val="24"/>
        </w:rPr>
      </w:pPr>
      <w:r>
        <w:drawing>
          <wp:inline distT="0" distB="0" distL="114300" distR="114300">
            <wp:extent cx="5255895" cy="2785745"/>
            <wp:effectExtent l="0" t="0" r="1905" b="825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0"/>
                    <a:stretch>
                      <a:fillRect/>
                    </a:stretch>
                  </pic:blipFill>
                  <pic:spPr>
                    <a:xfrm>
                      <a:off x="0" y="0"/>
                      <a:ext cx="5255895" cy="2785745"/>
                    </a:xfrm>
                    <a:prstGeom prst="rect">
                      <a:avLst/>
                    </a:prstGeom>
                    <a:noFill/>
                    <a:ln w="9525">
                      <a:noFill/>
                    </a:ln>
                  </pic:spPr>
                </pic:pic>
              </a:graphicData>
            </a:graphic>
          </wp:inline>
        </w:drawing>
      </w:r>
    </w:p>
    <w:p>
      <w:pPr>
        <w:snapToGrid w:val="0"/>
        <w:spacing w:line="360" w:lineRule="auto"/>
        <w:ind w:firstLine="540" w:firstLineChars="225"/>
        <w:rPr>
          <w:rFonts w:hint="eastAsia" w:ascii="宋体" w:hAnsi="宋体" w:cs="宋体"/>
          <w:kern w:val="0"/>
          <w:sz w:val="24"/>
        </w:rPr>
      </w:pPr>
      <w:r>
        <w:rPr>
          <w:rFonts w:hint="eastAsia" w:ascii="宋体" w:hAnsi="宋体" w:cs="宋体"/>
          <w:kern w:val="0"/>
          <w:sz w:val="24"/>
        </w:rPr>
        <w:t>在积极推进校内实训基地硬件建设和软件建设的同时，也积极推进校外实习基地建设。与苏汽国际物流集团有限公司、德邦物流有限公司、百世物流科技有限公司、苏宁云商股份有限公司物流雨花基地、江苏康众汽配有限公司等多家企业合作，建立稳定的校外实习基地。在实习中，学生可以在企业实地参与业务操作，使学生在真实的环境与条件中得到真实的</w:t>
      </w:r>
      <w:r>
        <w:rPr>
          <w:rFonts w:hint="default" w:ascii="宋体" w:hAnsi="宋体" w:cs="宋体"/>
          <w:kern w:val="0"/>
          <w:sz w:val="24"/>
        </w:rPr>
        <w:t>关务与外贸服务</w:t>
      </w:r>
      <w:r>
        <w:rPr>
          <w:rFonts w:hint="eastAsia" w:ascii="宋体" w:hAnsi="宋体" w:cs="宋体"/>
          <w:kern w:val="0"/>
          <w:sz w:val="24"/>
        </w:rPr>
        <w:t>代理业务能力的训练。</w:t>
      </w:r>
    </w:p>
    <w:p>
      <w:pPr>
        <w:snapToGrid w:val="0"/>
        <w:spacing w:line="360" w:lineRule="auto"/>
        <w:ind w:firstLine="542" w:firstLineChars="225"/>
        <w:rPr>
          <w:rFonts w:hint="eastAsia" w:ascii="宋体" w:hAnsi="宋体" w:cs="宋体"/>
          <w:b/>
          <w:kern w:val="0"/>
          <w:sz w:val="24"/>
        </w:rPr>
      </w:pPr>
      <w:r>
        <w:rPr>
          <w:rFonts w:hint="eastAsia" w:ascii="宋体" w:hAnsi="宋体" w:cs="宋体"/>
          <w:b/>
          <w:kern w:val="0"/>
          <w:sz w:val="24"/>
        </w:rPr>
        <w:t>三、</w:t>
      </w:r>
      <w:r>
        <w:rPr>
          <w:rFonts w:ascii="宋体" w:hAnsi="宋体" w:cs="宋体"/>
          <w:b/>
          <w:kern w:val="0"/>
          <w:sz w:val="24"/>
        </w:rPr>
        <w:t>校企合作</w:t>
      </w:r>
    </w:p>
    <w:p>
      <w:pPr>
        <w:snapToGrid w:val="0"/>
        <w:spacing w:line="360" w:lineRule="auto"/>
        <w:ind w:firstLine="540" w:firstLineChars="225"/>
        <w:rPr>
          <w:rFonts w:hint="eastAsia" w:ascii="宋体" w:hAnsi="宋体" w:cs="宋体"/>
          <w:kern w:val="0"/>
          <w:sz w:val="24"/>
        </w:rPr>
      </w:pPr>
      <w:r>
        <w:rPr>
          <w:rFonts w:hint="eastAsia" w:ascii="宋体" w:hAnsi="宋体" w:cs="宋体"/>
          <w:kern w:val="0"/>
          <w:sz w:val="24"/>
        </w:rPr>
        <w:t>建立了集实训、实习、就业功能于一体的校企合作基地，与企业签订合作协议，明确校企双方的责、权、利，建立了有效的运行机制，搭建了校企“合作育人、合作就业、合作发展”的共赢平台，充分满足了学生生产实训和顶岗实习的教学需求。</w:t>
      </w:r>
    </w:p>
    <w:p>
      <w:pPr>
        <w:snapToGrid w:val="0"/>
        <w:spacing w:line="360" w:lineRule="auto"/>
        <w:jc w:val="center"/>
        <w:rPr>
          <w:rFonts w:hint="eastAsia" w:ascii="宋体" w:hAnsi="宋体" w:cs="宋体"/>
          <w:kern w:val="0"/>
          <w:sz w:val="24"/>
        </w:rPr>
      </w:pPr>
      <w:r>
        <w:drawing>
          <wp:inline distT="0" distB="0" distL="114300" distR="114300">
            <wp:extent cx="4836160" cy="2671445"/>
            <wp:effectExtent l="0" t="0" r="2540" b="825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1"/>
                    <a:stretch>
                      <a:fillRect/>
                    </a:stretch>
                  </pic:blipFill>
                  <pic:spPr>
                    <a:xfrm>
                      <a:off x="0" y="0"/>
                      <a:ext cx="4836160" cy="2671445"/>
                    </a:xfrm>
                    <a:prstGeom prst="rect">
                      <a:avLst/>
                    </a:prstGeom>
                    <a:noFill/>
                    <a:ln w="9525">
                      <a:noFill/>
                    </a:ln>
                  </pic:spPr>
                </pic:pic>
              </a:graphicData>
            </a:graphic>
          </wp:inline>
        </w:drawing>
      </w:r>
    </w:p>
    <w:p>
      <w:pPr>
        <w:snapToGrid w:val="0"/>
        <w:spacing w:line="360" w:lineRule="auto"/>
        <w:ind w:firstLine="542" w:firstLineChars="225"/>
        <w:rPr>
          <w:rFonts w:hint="eastAsia" w:ascii="宋体" w:hAnsi="宋体" w:cs="宋体"/>
          <w:b/>
          <w:kern w:val="0"/>
          <w:sz w:val="24"/>
        </w:rPr>
      </w:pPr>
      <w:r>
        <w:rPr>
          <w:rFonts w:hint="eastAsia" w:ascii="宋体" w:hAnsi="宋体" w:cs="宋体"/>
          <w:b/>
          <w:kern w:val="0"/>
          <w:sz w:val="24"/>
        </w:rPr>
        <w:t>四、</w:t>
      </w:r>
      <w:r>
        <w:rPr>
          <w:rFonts w:ascii="宋体" w:hAnsi="宋体" w:cs="宋体"/>
          <w:b/>
          <w:kern w:val="0"/>
          <w:sz w:val="24"/>
        </w:rPr>
        <w:t>学习与发展</w:t>
      </w:r>
    </w:p>
    <w:p>
      <w:pPr>
        <w:snapToGrid w:val="0"/>
        <w:spacing w:line="360" w:lineRule="auto"/>
        <w:ind w:firstLine="542" w:firstLineChars="225"/>
        <w:rPr>
          <w:rFonts w:hint="eastAsia" w:ascii="宋体" w:hAnsi="宋体" w:cs="宋体"/>
          <w:b/>
          <w:kern w:val="0"/>
          <w:sz w:val="24"/>
        </w:rPr>
      </w:pPr>
      <w:r>
        <w:rPr>
          <w:rFonts w:hint="eastAsia" w:ascii="宋体" w:hAnsi="宋体" w:cs="宋体"/>
          <w:b/>
          <w:kern w:val="0"/>
          <w:sz w:val="24"/>
        </w:rPr>
        <w:t>1.</w:t>
      </w:r>
      <w:r>
        <w:rPr>
          <w:rFonts w:ascii="宋体" w:hAnsi="宋体" w:cs="宋体"/>
          <w:b/>
          <w:kern w:val="0"/>
          <w:sz w:val="24"/>
        </w:rPr>
        <w:t>毕业去向（就业/升学）</w:t>
      </w:r>
    </w:p>
    <w:p>
      <w:pPr>
        <w:snapToGrid w:val="0"/>
        <w:spacing w:line="360" w:lineRule="auto"/>
        <w:ind w:firstLine="540" w:firstLineChars="225"/>
        <w:rPr>
          <w:rFonts w:hint="eastAsia" w:ascii="宋体" w:hAnsi="宋体" w:cs="宋体"/>
          <w:kern w:val="0"/>
          <w:sz w:val="24"/>
        </w:rPr>
      </w:pPr>
      <w:r>
        <w:rPr>
          <w:rFonts w:hint="default" w:ascii="宋体" w:hAnsi="宋体" w:cs="宋体"/>
          <w:kern w:val="0"/>
          <w:sz w:val="24"/>
        </w:rPr>
        <w:t>关务与外贸服务</w:t>
      </w:r>
      <w:r>
        <w:rPr>
          <w:rFonts w:hint="eastAsia" w:ascii="宋体" w:hAnsi="宋体" w:cs="宋体"/>
          <w:kern w:val="0"/>
          <w:sz w:val="24"/>
        </w:rPr>
        <w:t>专业学生适合的就业岗位多，毕业后可在报关</w:t>
      </w:r>
      <w:r>
        <w:rPr>
          <w:rFonts w:hint="eastAsia" w:ascii="宋体" w:hAnsi="宋体" w:cs="宋体"/>
          <w:kern w:val="0"/>
          <w:sz w:val="24"/>
          <w:lang w:val="en-US" w:eastAsia="zh-Hans"/>
        </w:rPr>
        <w:t>公司</w:t>
      </w:r>
      <w:r>
        <w:rPr>
          <w:rFonts w:hint="eastAsia" w:ascii="宋体" w:hAnsi="宋体" w:cs="宋体"/>
          <w:kern w:val="0"/>
          <w:sz w:val="24"/>
        </w:rPr>
        <w:t>、外贸企业、进出口公司、海关、国际货运代理公司、国际物流企业、</w:t>
      </w:r>
      <w:r>
        <w:rPr>
          <w:rFonts w:hint="eastAsia" w:ascii="宋体" w:hAnsi="宋体"/>
          <w:sz w:val="24"/>
        </w:rPr>
        <w:t>跨境电商企业、</w:t>
      </w:r>
      <w:r>
        <w:rPr>
          <w:rFonts w:hint="eastAsia" w:ascii="宋体" w:hAnsi="宋体" w:cs="宋体"/>
          <w:kern w:val="0"/>
          <w:sz w:val="24"/>
        </w:rPr>
        <w:t>有进出口经营权的生产性企业等从事进出口业务、报关、报检、货物运输、外贸单证制作、市场营销、货源组织、仓储管理等方面的工作。</w:t>
      </w:r>
    </w:p>
    <w:p>
      <w:pPr>
        <w:snapToGrid w:val="0"/>
        <w:spacing w:line="360" w:lineRule="auto"/>
        <w:jc w:val="center"/>
        <w:rPr>
          <w:rFonts w:hint="eastAsia"/>
        </w:rPr>
      </w:pPr>
      <w:r>
        <w:drawing>
          <wp:inline distT="0" distB="0" distL="114300" distR="114300">
            <wp:extent cx="2356485" cy="1629410"/>
            <wp:effectExtent l="0" t="0" r="5715" b="21590"/>
            <wp:docPr id="8" name="图片 8" descr="u=1997389810,75869089&amp;fm=21&amp;g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u=1997389810,75869089&amp;fm=21&amp;gp=0"/>
                    <pic:cNvPicPr>
                      <a:picLocks noChangeAspect="1"/>
                    </pic:cNvPicPr>
                  </pic:nvPicPr>
                  <pic:blipFill>
                    <a:blip r:embed="rId12"/>
                    <a:stretch>
                      <a:fillRect/>
                    </a:stretch>
                  </pic:blipFill>
                  <pic:spPr>
                    <a:xfrm>
                      <a:off x="0" y="0"/>
                      <a:ext cx="2356485" cy="1629410"/>
                    </a:xfrm>
                    <a:prstGeom prst="rect">
                      <a:avLst/>
                    </a:prstGeom>
                    <a:noFill/>
                    <a:ln w="9525">
                      <a:noFill/>
                    </a:ln>
                  </pic:spPr>
                </pic:pic>
              </a:graphicData>
            </a:graphic>
          </wp:inline>
        </w:drawing>
      </w:r>
      <w:r>
        <w:drawing>
          <wp:inline distT="0" distB="0" distL="114300" distR="114300">
            <wp:extent cx="2463165" cy="1626870"/>
            <wp:effectExtent l="0" t="0" r="635" b="24130"/>
            <wp:docPr id="9" name="图片 9" descr="u=3587806510,389070449&amp;fm=21&amp;g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u=3587806510,389070449&amp;fm=21&amp;gp=0"/>
                    <pic:cNvPicPr>
                      <a:picLocks noChangeAspect="1"/>
                    </pic:cNvPicPr>
                  </pic:nvPicPr>
                  <pic:blipFill>
                    <a:blip r:embed="rId13"/>
                    <a:srcRect t="4639" b="2577"/>
                    <a:stretch>
                      <a:fillRect/>
                    </a:stretch>
                  </pic:blipFill>
                  <pic:spPr>
                    <a:xfrm>
                      <a:off x="0" y="0"/>
                      <a:ext cx="2463165" cy="1626870"/>
                    </a:xfrm>
                    <a:prstGeom prst="rect">
                      <a:avLst/>
                    </a:prstGeom>
                    <a:noFill/>
                    <a:ln w="9525">
                      <a:noFill/>
                    </a:ln>
                  </pic:spPr>
                </pic:pic>
              </a:graphicData>
            </a:graphic>
          </wp:inline>
        </w:drawing>
      </w:r>
    </w:p>
    <w:p>
      <w:pPr>
        <w:snapToGrid w:val="0"/>
        <w:spacing w:line="360" w:lineRule="auto"/>
        <w:ind w:firstLine="1680" w:firstLineChars="800"/>
        <w:rPr>
          <w:rFonts w:hint="eastAsia" w:eastAsia="宋体"/>
          <w:lang w:eastAsia="zh-Hans"/>
        </w:rPr>
      </w:pPr>
      <w:r>
        <w:rPr>
          <w:rFonts w:hint="eastAsia"/>
        </w:rPr>
        <w:t>海  关                                报关</w:t>
      </w:r>
      <w:r>
        <w:rPr>
          <w:rFonts w:hint="eastAsia"/>
          <w:lang w:val="en-US" w:eastAsia="zh-Hans"/>
        </w:rPr>
        <w:t>公司</w:t>
      </w:r>
    </w:p>
    <w:p>
      <w:pPr>
        <w:snapToGrid w:val="0"/>
        <w:spacing w:line="360" w:lineRule="auto"/>
        <w:jc w:val="center"/>
        <w:rPr>
          <w:rFonts w:hint="eastAsia"/>
        </w:rPr>
      </w:pPr>
      <w:r>
        <w:drawing>
          <wp:inline distT="0" distB="0" distL="114300" distR="114300">
            <wp:extent cx="2501900" cy="1631950"/>
            <wp:effectExtent l="0" t="0" r="12700" b="19050"/>
            <wp:docPr id="10" name="图片 10" descr="u=3260207572,1797913102&amp;fm=21&amp;g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u=3260207572,1797913102&amp;fm=21&amp;gp=0"/>
                    <pic:cNvPicPr>
                      <a:picLocks noChangeAspect="1"/>
                    </pic:cNvPicPr>
                  </pic:nvPicPr>
                  <pic:blipFill>
                    <a:blip r:embed="rId14"/>
                    <a:srcRect b="6615"/>
                    <a:stretch>
                      <a:fillRect/>
                    </a:stretch>
                  </pic:blipFill>
                  <pic:spPr>
                    <a:xfrm>
                      <a:off x="0" y="0"/>
                      <a:ext cx="2501900" cy="1631950"/>
                    </a:xfrm>
                    <a:prstGeom prst="rect">
                      <a:avLst/>
                    </a:prstGeom>
                    <a:noFill/>
                    <a:ln w="9525">
                      <a:noFill/>
                    </a:ln>
                  </pic:spPr>
                </pic:pic>
              </a:graphicData>
            </a:graphic>
          </wp:inline>
        </w:drawing>
      </w:r>
      <w:r>
        <w:t xml:space="preserve"> </w:t>
      </w:r>
      <w:r>
        <w:drawing>
          <wp:inline distT="0" distB="0" distL="114300" distR="114300">
            <wp:extent cx="2422525" cy="1626870"/>
            <wp:effectExtent l="0" t="0" r="15875" b="24130"/>
            <wp:docPr id="11" name="图片 11" descr="20104108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104108021"/>
                    <pic:cNvPicPr>
                      <a:picLocks noChangeAspect="1"/>
                    </pic:cNvPicPr>
                  </pic:nvPicPr>
                  <pic:blipFill>
                    <a:blip r:embed="rId15"/>
                    <a:srcRect t="12968" r="19182" b="17575"/>
                    <a:stretch>
                      <a:fillRect/>
                    </a:stretch>
                  </pic:blipFill>
                  <pic:spPr>
                    <a:xfrm>
                      <a:off x="0" y="0"/>
                      <a:ext cx="2422525" cy="1626870"/>
                    </a:xfrm>
                    <a:prstGeom prst="rect">
                      <a:avLst/>
                    </a:prstGeom>
                    <a:noFill/>
                    <a:ln w="9525">
                      <a:noFill/>
                    </a:ln>
                  </pic:spPr>
                </pic:pic>
              </a:graphicData>
            </a:graphic>
          </wp:inline>
        </w:drawing>
      </w:r>
    </w:p>
    <w:p>
      <w:pPr>
        <w:snapToGrid w:val="0"/>
        <w:spacing w:line="360" w:lineRule="auto"/>
        <w:ind w:firstLine="1575" w:firstLineChars="750"/>
        <w:rPr>
          <w:rFonts w:hint="eastAsia"/>
        </w:rPr>
      </w:pPr>
      <w:r>
        <w:rPr>
          <w:rFonts w:hint="eastAsia"/>
        </w:rPr>
        <w:t>国际货代公司                            外贸公司</w:t>
      </w:r>
    </w:p>
    <w:p>
      <w:pPr>
        <w:snapToGrid w:val="0"/>
        <w:spacing w:line="360" w:lineRule="auto"/>
        <w:ind w:firstLine="540" w:firstLineChars="225"/>
        <w:rPr>
          <w:rFonts w:hint="default" w:ascii="宋体" w:hAnsi="宋体" w:eastAsia="宋体" w:cs="宋体"/>
          <w:kern w:val="0"/>
          <w:sz w:val="24"/>
          <w:lang w:val="en-US" w:eastAsia="zh-Hans"/>
        </w:rPr>
      </w:pPr>
      <w:r>
        <w:rPr>
          <w:rFonts w:hint="eastAsia" w:ascii="宋体" w:hAnsi="宋体" w:cs="宋体"/>
          <w:kern w:val="0"/>
          <w:sz w:val="24"/>
        </w:rPr>
        <w:t>本专业不仅培养学生的职业能力，为他们就业打下坚实的基础，还为学生提供多种深造途径，主要有：校内专接本、跨校专升本、自学考试</w:t>
      </w:r>
      <w:r>
        <w:rPr>
          <w:rFonts w:hint="eastAsia" w:ascii="宋体" w:hAnsi="宋体" w:cs="宋体"/>
          <w:kern w:val="0"/>
          <w:sz w:val="24"/>
          <w:lang w:val="en-US" w:eastAsia="zh-Hans"/>
        </w:rPr>
        <w:t>等</w:t>
      </w:r>
      <w:r>
        <w:rPr>
          <w:rFonts w:hint="eastAsia" w:ascii="宋体" w:hAnsi="宋体" w:cs="宋体"/>
          <w:kern w:val="0"/>
          <w:sz w:val="24"/>
        </w:rPr>
        <w:t>，学生可选择不同方式取得本科学历及学士学位。</w:t>
      </w:r>
    </w:p>
    <w:p>
      <w:pPr>
        <w:snapToGrid w:val="0"/>
        <w:spacing w:line="360" w:lineRule="auto"/>
        <w:ind w:firstLine="542" w:firstLineChars="225"/>
        <w:rPr>
          <w:rFonts w:hint="eastAsia" w:ascii="宋体" w:hAnsi="宋体" w:cs="宋体"/>
          <w:b/>
          <w:kern w:val="0"/>
          <w:sz w:val="24"/>
        </w:rPr>
      </w:pPr>
      <w:r>
        <w:rPr>
          <w:rFonts w:hint="eastAsia" w:ascii="宋体" w:hAnsi="宋体" w:cs="宋体"/>
          <w:b/>
          <w:kern w:val="0"/>
          <w:sz w:val="24"/>
        </w:rPr>
        <w:t>2.</w:t>
      </w:r>
      <w:r>
        <w:rPr>
          <w:rFonts w:ascii="宋体" w:hAnsi="宋体" w:cs="宋体"/>
          <w:b/>
          <w:kern w:val="0"/>
          <w:sz w:val="24"/>
        </w:rPr>
        <w:t>职业资格证书</w:t>
      </w:r>
    </w:p>
    <w:p>
      <w:pPr>
        <w:snapToGrid w:val="0"/>
        <w:spacing w:line="360" w:lineRule="auto"/>
        <w:ind w:firstLine="540" w:firstLineChars="225"/>
        <w:rPr>
          <w:rFonts w:hint="eastAsia" w:ascii="宋体" w:hAnsi="宋体" w:cs="宋体"/>
          <w:kern w:val="0"/>
          <w:sz w:val="24"/>
        </w:rPr>
      </w:pPr>
      <w:r>
        <w:rPr>
          <w:rFonts w:hint="eastAsia" w:ascii="宋体" w:hAnsi="宋体" w:cs="宋体"/>
          <w:kern w:val="0"/>
          <w:sz w:val="24"/>
        </w:rPr>
        <w:t>本专业根据相关的职业资格考试内容开设相关的课程，形成与职业资格证书对接的教学模块，学生可以根据自己的职业生涯规划选取相关的模块进行学习。与本专业相关的职业资格证书有：国际货运代理员、外经贸单证员、</w:t>
      </w:r>
      <w:r>
        <w:rPr>
          <w:rFonts w:hint="eastAsia" w:ascii="宋体" w:hAnsi="宋体" w:cs="宋体"/>
          <w:kern w:val="0"/>
          <w:sz w:val="24"/>
          <w:lang w:val="en-US" w:eastAsia="zh-Hans"/>
        </w:rPr>
        <w:t>物流</w:t>
      </w:r>
      <w:r>
        <w:rPr>
          <w:rFonts w:hint="default" w:ascii="宋体" w:hAnsi="宋体" w:cs="宋体"/>
          <w:kern w:val="0"/>
          <w:sz w:val="24"/>
          <w:lang w:eastAsia="zh-Hans"/>
        </w:rPr>
        <w:t>1+</w:t>
      </w:r>
      <w:r>
        <w:rPr>
          <w:rFonts w:hint="eastAsia" w:ascii="宋体" w:hAnsi="宋体" w:cs="宋体"/>
          <w:kern w:val="0"/>
          <w:sz w:val="24"/>
          <w:lang w:val="en-US" w:eastAsia="zh-Hans"/>
        </w:rPr>
        <w:t>X</w:t>
      </w:r>
      <w:bookmarkStart w:id="0" w:name="_GoBack"/>
      <w:bookmarkEnd w:id="0"/>
      <w:r>
        <w:rPr>
          <w:rFonts w:hint="eastAsia" w:ascii="宋体" w:hAnsi="宋体" w:cs="宋体"/>
          <w:kern w:val="0"/>
          <w:sz w:val="24"/>
        </w:rPr>
        <w:t>等。</w:t>
      </w:r>
    </w:p>
    <w:p>
      <w:pPr>
        <w:snapToGrid w:val="0"/>
        <w:spacing w:line="360" w:lineRule="auto"/>
        <w:jc w:val="center"/>
        <w:rPr>
          <w:rFonts w:hint="eastAsia"/>
        </w:rPr>
      </w:pPr>
      <w:r>
        <w:drawing>
          <wp:inline distT="0" distB="0" distL="114300" distR="114300">
            <wp:extent cx="1995170" cy="2633980"/>
            <wp:effectExtent l="0" t="0" r="11430" b="762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6"/>
                    <a:stretch>
                      <a:fillRect/>
                    </a:stretch>
                  </pic:blipFill>
                  <pic:spPr>
                    <a:xfrm>
                      <a:off x="0" y="0"/>
                      <a:ext cx="1995170" cy="2633980"/>
                    </a:xfrm>
                    <a:prstGeom prst="rect">
                      <a:avLst/>
                    </a:prstGeom>
                    <a:noFill/>
                    <a:ln w="9525">
                      <a:noFill/>
                    </a:ln>
                  </pic:spPr>
                </pic:pic>
              </a:graphicData>
            </a:graphic>
          </wp:inline>
        </w:drawing>
      </w:r>
      <w:r>
        <w:rPr>
          <w:rFonts w:hint="eastAsia"/>
        </w:rPr>
        <w:t xml:space="preserve">      </w:t>
      </w:r>
      <w:r>
        <w:t xml:space="preserve"> </w:t>
      </w:r>
      <w:r>
        <w:drawing>
          <wp:inline distT="0" distB="0" distL="114300" distR="114300">
            <wp:extent cx="1905635" cy="2666365"/>
            <wp:effectExtent l="0" t="0" r="24765" b="635"/>
            <wp:docPr id="15" name="图片 15" descr="2016c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2016cert"/>
                    <pic:cNvPicPr>
                      <a:picLocks noChangeAspect="1"/>
                    </pic:cNvPicPr>
                  </pic:nvPicPr>
                  <pic:blipFill>
                    <a:blip r:embed="rId17"/>
                    <a:stretch>
                      <a:fillRect/>
                    </a:stretch>
                  </pic:blipFill>
                  <pic:spPr>
                    <a:xfrm>
                      <a:off x="0" y="0"/>
                      <a:ext cx="1905635" cy="2666365"/>
                    </a:xfrm>
                    <a:prstGeom prst="rect">
                      <a:avLst/>
                    </a:prstGeom>
                    <a:noFill/>
                    <a:ln w="9525">
                      <a:noFill/>
                    </a:ln>
                  </pic:spPr>
                </pic:pic>
              </a:graphicData>
            </a:graphic>
          </wp:inline>
        </w:drawing>
      </w: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50"/>
    <w:family w:val="auto"/>
    <w:pitch w:val="default"/>
    <w:sig w:usb0="00000000" w:usb1="00000000" w:usb2="00000000" w:usb3="00000000" w:csb0="00160000" w:csb1="00000000"/>
  </w:font>
  <w:font w:name="Wingdings">
    <w:panose1 w:val="05000000000000000000"/>
    <w:charset w:val="02"/>
    <w:family w:val="auto"/>
    <w:pitch w:val="default"/>
    <w:sig w:usb0="00000000" w:usb1="00000000" w:usb2="00000000" w:usb3="00000000" w:csb0="00000000" w:csb1="00000000"/>
  </w:font>
  <w:font w:name="Arial">
    <w:panose1 w:val="020B0604020202020204"/>
    <w:charset w:val="01"/>
    <w:family w:val="swiss"/>
    <w:pitch w:val="default"/>
    <w:sig w:usb0="00000000" w:usb1="00000000" w:usb2="00000000" w:usb3="00000000" w:csb0="00000000" w:csb1="00000000"/>
  </w:font>
  <w:font w:name="黑体">
    <w:panose1 w:val="02010609060101010101"/>
    <w:charset w:val="86"/>
    <w:family w:val="auto"/>
    <w:pitch w:val="default"/>
    <w:sig w:usb0="00000000" w:usb1="00000000" w:usb2="00000000" w:usb3="00000000" w:csb0="00160000" w:csb1="00000000"/>
  </w:font>
  <w:font w:name="Courier New">
    <w:panose1 w:val="02070309020205020404"/>
    <w:charset w:val="01"/>
    <w:family w:val="modern"/>
    <w:pitch w:val="default"/>
    <w:sig w:usb0="00000000" w:usb1="00000000" w:usb2="00000000" w:usb3="00000000" w:csb0="00000000" w:csb1="00000000"/>
  </w:font>
  <w:font w:name="Symbol">
    <w:altName w:val="Kingsoft Sign"/>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00000000" w:usb1="00000000" w:usb2="00000000" w:usb3="00000000" w:csb0="00000000" w:csb1="00000000"/>
  </w:font>
  <w:font w:name="微软雅黑">
    <w:panose1 w:val="020B0503020204020204"/>
    <w:charset w:val="86"/>
    <w:family w:val="auto"/>
    <w:pitch w:val="default"/>
    <w:sig w:usb0="00000000" w:usb1="00000000" w:usb2="00000000" w:usb3="00000000" w:csb0="0016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170B"/>
    <w:rsid w:val="000129C8"/>
    <w:rsid w:val="000136A6"/>
    <w:rsid w:val="00054376"/>
    <w:rsid w:val="00070793"/>
    <w:rsid w:val="00072138"/>
    <w:rsid w:val="00084D82"/>
    <w:rsid w:val="0008769F"/>
    <w:rsid w:val="000A62E9"/>
    <w:rsid w:val="000B36BA"/>
    <w:rsid w:val="000B5171"/>
    <w:rsid w:val="000C2BBA"/>
    <w:rsid w:val="000E18E6"/>
    <w:rsid w:val="000E465B"/>
    <w:rsid w:val="000E7D83"/>
    <w:rsid w:val="0011523A"/>
    <w:rsid w:val="00131E6A"/>
    <w:rsid w:val="00145D3D"/>
    <w:rsid w:val="00147A86"/>
    <w:rsid w:val="00155C21"/>
    <w:rsid w:val="001719EA"/>
    <w:rsid w:val="00195B4C"/>
    <w:rsid w:val="00195ED0"/>
    <w:rsid w:val="001B207A"/>
    <w:rsid w:val="001B7061"/>
    <w:rsid w:val="001D604C"/>
    <w:rsid w:val="001F6626"/>
    <w:rsid w:val="002069C3"/>
    <w:rsid w:val="0021159D"/>
    <w:rsid w:val="002272D7"/>
    <w:rsid w:val="00241C8C"/>
    <w:rsid w:val="00242A01"/>
    <w:rsid w:val="0026499C"/>
    <w:rsid w:val="00272B9F"/>
    <w:rsid w:val="002A13C5"/>
    <w:rsid w:val="002B7966"/>
    <w:rsid w:val="002F053A"/>
    <w:rsid w:val="003003FD"/>
    <w:rsid w:val="00306CBB"/>
    <w:rsid w:val="003209E4"/>
    <w:rsid w:val="00323996"/>
    <w:rsid w:val="0033125F"/>
    <w:rsid w:val="0037075B"/>
    <w:rsid w:val="003922E4"/>
    <w:rsid w:val="003962D5"/>
    <w:rsid w:val="003B251C"/>
    <w:rsid w:val="003B7B51"/>
    <w:rsid w:val="003C5B22"/>
    <w:rsid w:val="003D165D"/>
    <w:rsid w:val="003D1AD2"/>
    <w:rsid w:val="003D314D"/>
    <w:rsid w:val="003F46BE"/>
    <w:rsid w:val="00412826"/>
    <w:rsid w:val="00447067"/>
    <w:rsid w:val="00477B52"/>
    <w:rsid w:val="00481D8D"/>
    <w:rsid w:val="00493B88"/>
    <w:rsid w:val="004A46B7"/>
    <w:rsid w:val="004A641E"/>
    <w:rsid w:val="004B51D1"/>
    <w:rsid w:val="004F3531"/>
    <w:rsid w:val="00504DB9"/>
    <w:rsid w:val="0050578D"/>
    <w:rsid w:val="0051137F"/>
    <w:rsid w:val="00516E60"/>
    <w:rsid w:val="005221F0"/>
    <w:rsid w:val="00550B00"/>
    <w:rsid w:val="00556E66"/>
    <w:rsid w:val="00572F5D"/>
    <w:rsid w:val="00585A03"/>
    <w:rsid w:val="0059330C"/>
    <w:rsid w:val="00597898"/>
    <w:rsid w:val="005B014E"/>
    <w:rsid w:val="005D3D61"/>
    <w:rsid w:val="005E5714"/>
    <w:rsid w:val="006044BB"/>
    <w:rsid w:val="00606E8F"/>
    <w:rsid w:val="0062546F"/>
    <w:rsid w:val="00627D91"/>
    <w:rsid w:val="00644D6A"/>
    <w:rsid w:val="006831D9"/>
    <w:rsid w:val="006A6FA0"/>
    <w:rsid w:val="006F1F04"/>
    <w:rsid w:val="006F2EFB"/>
    <w:rsid w:val="00724E19"/>
    <w:rsid w:val="007451C0"/>
    <w:rsid w:val="007504C3"/>
    <w:rsid w:val="00777F12"/>
    <w:rsid w:val="00797271"/>
    <w:rsid w:val="007D7A35"/>
    <w:rsid w:val="008328AC"/>
    <w:rsid w:val="00837A58"/>
    <w:rsid w:val="0085762A"/>
    <w:rsid w:val="00891549"/>
    <w:rsid w:val="008D265C"/>
    <w:rsid w:val="008D27C0"/>
    <w:rsid w:val="008E170B"/>
    <w:rsid w:val="009034E3"/>
    <w:rsid w:val="009211DE"/>
    <w:rsid w:val="00940D2E"/>
    <w:rsid w:val="00957B1F"/>
    <w:rsid w:val="00966702"/>
    <w:rsid w:val="00997E2E"/>
    <w:rsid w:val="009B1FC0"/>
    <w:rsid w:val="009B7DF2"/>
    <w:rsid w:val="009D1BB4"/>
    <w:rsid w:val="009D2E6D"/>
    <w:rsid w:val="00A03272"/>
    <w:rsid w:val="00A139B4"/>
    <w:rsid w:val="00A14ED9"/>
    <w:rsid w:val="00A27CD6"/>
    <w:rsid w:val="00A51F35"/>
    <w:rsid w:val="00A65F51"/>
    <w:rsid w:val="00A71305"/>
    <w:rsid w:val="00A73F72"/>
    <w:rsid w:val="00A73FA4"/>
    <w:rsid w:val="00A76354"/>
    <w:rsid w:val="00A97983"/>
    <w:rsid w:val="00AA3B32"/>
    <w:rsid w:val="00AC1A96"/>
    <w:rsid w:val="00AF0CA6"/>
    <w:rsid w:val="00AF5B05"/>
    <w:rsid w:val="00B3779D"/>
    <w:rsid w:val="00B71C7C"/>
    <w:rsid w:val="00B90C2C"/>
    <w:rsid w:val="00BA46E2"/>
    <w:rsid w:val="00BB5597"/>
    <w:rsid w:val="00BD2783"/>
    <w:rsid w:val="00BD734A"/>
    <w:rsid w:val="00BF2D6D"/>
    <w:rsid w:val="00BF43AF"/>
    <w:rsid w:val="00C06CEB"/>
    <w:rsid w:val="00C07572"/>
    <w:rsid w:val="00C12F53"/>
    <w:rsid w:val="00C13270"/>
    <w:rsid w:val="00C2752B"/>
    <w:rsid w:val="00C33038"/>
    <w:rsid w:val="00C41933"/>
    <w:rsid w:val="00C8216E"/>
    <w:rsid w:val="00C82CFF"/>
    <w:rsid w:val="00C923D6"/>
    <w:rsid w:val="00C963D7"/>
    <w:rsid w:val="00CA3112"/>
    <w:rsid w:val="00CD4495"/>
    <w:rsid w:val="00CE6587"/>
    <w:rsid w:val="00D50723"/>
    <w:rsid w:val="00D52EF9"/>
    <w:rsid w:val="00D621C0"/>
    <w:rsid w:val="00D7431A"/>
    <w:rsid w:val="00DA0F34"/>
    <w:rsid w:val="00DD7AEF"/>
    <w:rsid w:val="00DE0478"/>
    <w:rsid w:val="00DE2AA7"/>
    <w:rsid w:val="00E0760D"/>
    <w:rsid w:val="00E2017F"/>
    <w:rsid w:val="00E255CD"/>
    <w:rsid w:val="00E5187A"/>
    <w:rsid w:val="00E726E1"/>
    <w:rsid w:val="00E9772A"/>
    <w:rsid w:val="00E97F1C"/>
    <w:rsid w:val="00EA16BC"/>
    <w:rsid w:val="00EB568D"/>
    <w:rsid w:val="00EE364C"/>
    <w:rsid w:val="00EE55C0"/>
    <w:rsid w:val="00EF2409"/>
    <w:rsid w:val="00F30217"/>
    <w:rsid w:val="00F32070"/>
    <w:rsid w:val="00F4682B"/>
    <w:rsid w:val="00F76A44"/>
    <w:rsid w:val="00F86F9B"/>
    <w:rsid w:val="00FB7A5E"/>
    <w:rsid w:val="00FD393F"/>
    <w:rsid w:val="00FD4CD7"/>
    <w:rsid w:val="00FE1EEF"/>
    <w:rsid w:val="00FE23CC"/>
    <w:rsid w:val="00FE4F57"/>
    <w:rsid w:val="1BDD022D"/>
    <w:rsid w:val="1D962293"/>
    <w:rsid w:val="2DBE88FB"/>
    <w:rsid w:val="37730871"/>
    <w:rsid w:val="5FD3865D"/>
    <w:rsid w:val="75ED56F1"/>
    <w:rsid w:val="B57FFB61"/>
    <w:rsid w:val="BADF35C3"/>
    <w:rsid w:val="BFFF3B18"/>
    <w:rsid w:val="F9BF34FB"/>
    <w:rsid w:val="FFB3FFB4"/>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Balloon Text"/>
    <w:basedOn w:val="1"/>
    <w:semiHidden/>
    <w:qFormat/>
    <w:uiPriority w:val="0"/>
    <w:rPr>
      <w:sz w:val="18"/>
      <w:szCs w:val="18"/>
    </w:rPr>
  </w:style>
  <w:style w:type="paragraph" w:styleId="3">
    <w:name w:val="footer"/>
    <w:basedOn w:val="1"/>
    <w:qFormat/>
    <w:uiPriority w:val="0"/>
    <w:pPr>
      <w:tabs>
        <w:tab w:val="center" w:pos="4153"/>
        <w:tab w:val="right" w:pos="8306"/>
      </w:tabs>
      <w:snapToGrid w:val="0"/>
      <w:jc w:val="left"/>
    </w:pPr>
    <w:rPr>
      <w:sz w:val="18"/>
      <w:szCs w:val="18"/>
    </w:rPr>
  </w:style>
  <w:style w:type="paragraph" w:styleId="4">
    <w:name w:val="header"/>
    <w:basedOn w:val="1"/>
    <w:qFormat/>
    <w:uiPriority w:val="0"/>
    <w:pPr>
      <w:pBdr>
        <w:bottom w:val="single" w:color="auto" w:sz="6" w:space="1"/>
      </w:pBdr>
      <w:tabs>
        <w:tab w:val="center" w:pos="4153"/>
        <w:tab w:val="right" w:pos="8306"/>
      </w:tabs>
      <w:snapToGrid w:val="0"/>
      <w:jc w:val="center"/>
    </w:pPr>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chart" Target="charts/chart3.xml"/><Relationship Id="rId8" Type="http://schemas.openxmlformats.org/officeDocument/2006/relationships/chart" Target="charts/chart2.xml"/><Relationship Id="rId7" Type="http://schemas.openxmlformats.org/officeDocument/2006/relationships/chart" Target="charts/chart1.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image" Target="media/image11.jpeg"/><Relationship Id="rId16" Type="http://schemas.openxmlformats.org/officeDocument/2006/relationships/image" Target="media/image10.pn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4" Type="http://schemas.microsoft.com/office/2011/relationships/chartColorStyle" Target="colors3.xml"/><Relationship Id="rId3" Type="http://schemas.microsoft.com/office/2011/relationships/chartStyle" Target="style3.xml"/><Relationship Id="rId2" Type="http://schemas.openxmlformats.org/officeDocument/2006/relationships/themeOverride" Target="../theme/themeOverride2.xml"/><Relationship Id="rId1" Type="http://schemas.openxmlformats.org/officeDocument/2006/relationships/oleObject" Target="file:///E:\20-21-2\&#25945;&#30740;&#23460;\2021&#20154;&#25165;&#22521;&#20859;&#26041;&#26696;\&#20851;&#21153;&#19982;&#22806;&#36152;&#26381;&#21153;\2021&#32423;&#20851;&#21153;&#19982;&#22806;&#36152;&#26381;&#21153;&#25945;&#23398;&#36827;&#31243;&#34920;6.10.xlsx" TargetMode="External"/></Relationships>
</file>

<file path=word/charts/_rels/chart2.xml.rels><?xml version="1.0" encoding="UTF-8" standalone="yes"?>
<Relationships xmlns="http://schemas.openxmlformats.org/package/2006/relationships"><Relationship Id="rId4" Type="http://schemas.microsoft.com/office/2011/relationships/chartColorStyle" Target="colors1.xml"/><Relationship Id="rId3" Type="http://schemas.microsoft.com/office/2011/relationships/chartStyle" Target="style1.xml"/><Relationship Id="rId2" Type="http://schemas.openxmlformats.org/officeDocument/2006/relationships/themeOverride" Target="../theme/themeOverride1.xml"/><Relationship Id="rId1" Type="http://schemas.openxmlformats.org/officeDocument/2006/relationships/oleObject" Target="file:///E:\20-21-2\&#25945;&#30740;&#23460;\2021&#20154;&#25165;&#22521;&#20859;&#26041;&#26696;\&#20851;&#21153;&#19982;&#22806;&#36152;&#26381;&#21153;\2021&#32423;&#20851;&#21153;&#19982;&#22806;&#36152;&#26381;&#21153;&#25945;&#23398;&#36827;&#31243;&#34920;6.10.xlsx" TargetMode="External"/></Relationships>
</file>

<file path=word/charts/_rels/chart3.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E:\20-21-2\&#25945;&#30740;&#23460;\2021&#20154;&#25165;&#22521;&#20859;&#26041;&#26696;\&#20851;&#21153;&#19982;&#22806;&#36152;&#26381;&#21153;\2021&#32423;&#20851;&#21153;&#19982;&#22806;&#36152;&#26381;&#21153;&#25945;&#23398;&#36827;&#31243;&#34920;6.1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forceAA="0"/>
          <a:lstStyle/>
          <a:p>
            <a:pPr>
              <a:defRPr lang="zh-CN" sz="1400" b="1" i="0" u="none" strike="noStrike" kern="1200" spc="0" baseline="0">
                <a:solidFill>
                  <a:schemeClr val="tx1">
                    <a:lumMod val="65000"/>
                    <a:lumOff val="35000"/>
                  </a:schemeClr>
                </a:solidFill>
                <a:latin typeface="黑体" panose="02010609060101010101" charset="-122"/>
                <a:ea typeface="黑体" panose="02010609060101010101" charset="-122"/>
                <a:cs typeface="黑体" panose="02010609060101010101" charset="-122"/>
                <a:sym typeface="黑体" panose="02010609060101010101" charset="-122"/>
              </a:defRPr>
            </a:pPr>
            <a:r>
              <a:rPr>
                <a:latin typeface="黑体" panose="02010609060101010101" charset="-122"/>
                <a:ea typeface="黑体" panose="02010609060101010101" charset="-122"/>
                <a:cs typeface="黑体" panose="02010609060101010101" charset="-122"/>
                <a:sym typeface="黑体" panose="02010609060101010101" charset="-122"/>
              </a:rPr>
              <a:t>专任教师职称结构</a:t>
            </a:r>
            <a:endParaRPr>
              <a:latin typeface="黑体" panose="02010609060101010101" charset="-122"/>
              <a:ea typeface="黑体" panose="02010609060101010101" charset="-122"/>
              <a:cs typeface="黑体" panose="02010609060101010101" charset="-122"/>
              <a:sym typeface="黑体" panose="02010609060101010101" charset="-122"/>
            </a:endParaRPr>
          </a:p>
        </c:rich>
      </c:tx>
      <c:layout>
        <c:manualLayout>
          <c:xMode val="edge"/>
          <c:yMode val="edge"/>
          <c:x val="0.333888888888889"/>
          <c:y val="0.0277777777777778"/>
        </c:manualLayout>
      </c:layout>
      <c:overlay val="0"/>
      <c:spPr>
        <a:noFill/>
        <a:ln>
          <a:noFill/>
        </a:ln>
        <a:effectLst/>
      </c:spPr>
    </c:title>
    <c:autoTitleDeleted val="0"/>
    <c:plotArea>
      <c:layout>
        <c:manualLayout>
          <c:layoutTarget val="inner"/>
          <c:xMode val="edge"/>
          <c:yMode val="edge"/>
          <c:x val="0.295728985700922"/>
          <c:y val="0.211752623353427"/>
          <c:w val="0.408542028598156"/>
          <c:h val="0.682545210984595"/>
        </c:manualLayout>
      </c:layout>
      <c:pieChart>
        <c:varyColors val="1"/>
        <c:ser>
          <c:idx val="0"/>
          <c:order val="0"/>
          <c:spPr/>
          <c:explosion val="4"/>
          <c:dPt>
            <c:idx val="0"/>
            <c:bubble3D val="0"/>
            <c:spPr>
              <a:gradFill>
                <a:gsLst>
                  <a:gs pos="0">
                    <a:srgbClr val="007BD3"/>
                  </a:gs>
                  <a:gs pos="100000">
                    <a:srgbClr val="034373"/>
                  </a:gs>
                </a:gsLst>
                <a:path path="circle">
                  <a:fillToRect l="100000" t="100000"/>
                </a:path>
                <a:tileRect r="-100000" b="-100000"/>
              </a:gradFill>
              <a:ln w="19050">
                <a:solidFill>
                  <a:schemeClr val="lt1"/>
                </a:solidFill>
              </a:ln>
              <a:effectLst/>
            </c:spPr>
          </c:dPt>
          <c:dPt>
            <c:idx val="1"/>
            <c:bubble3D val="0"/>
            <c:spPr>
              <a:gradFill>
                <a:gsLst>
                  <a:gs pos="100000">
                    <a:srgbClr val="8BC1B3"/>
                  </a:gs>
                  <a:gs pos="0">
                    <a:srgbClr val="C9E4E1"/>
                  </a:gs>
                </a:gsLst>
                <a:path path="circle">
                  <a:fillToRect l="100000" t="100000"/>
                </a:path>
                <a:tileRect r="-100000" b="-100000"/>
              </a:gradFill>
              <a:ln w="19050">
                <a:solidFill>
                  <a:schemeClr val="lt1"/>
                </a:solidFill>
              </a:ln>
              <a:effectLst/>
            </c:spPr>
          </c:dPt>
          <c:dPt>
            <c:idx val="2"/>
            <c:bubble3D val="0"/>
            <c:spPr>
              <a:gradFill>
                <a:gsLst>
                  <a:gs pos="50000">
                    <a:schemeClr val="bg1">
                      <a:lumMod val="85000"/>
                    </a:schemeClr>
                  </a:gs>
                  <a:gs pos="100000">
                    <a:srgbClr val="D4CFC9"/>
                  </a:gs>
                  <a:gs pos="0">
                    <a:srgbClr val="F5EFF3"/>
                  </a:gs>
                </a:gsLst>
                <a:lin ang="5400000" scaled="1"/>
              </a:gradFill>
              <a:ln w="19050">
                <a:solidFill>
                  <a:schemeClr val="lt1"/>
                </a:solidFill>
              </a:ln>
              <a:effectLst/>
            </c:spPr>
          </c:dPt>
          <c:dLbls>
            <c:numFmt formatCode="General" sourceLinked="1"/>
            <c:spPr>
              <a:noFill/>
              <a:ln>
                <a:noFill/>
              </a:ln>
              <a:effectLst/>
            </c:spPr>
            <c:txPr>
              <a:bodyPr rot="0" spcFirstLastPara="0" vertOverflow="ellipsis" vert="horz" wrap="square" lIns="38100" tIns="19050" rIns="38100" bIns="19050" anchor="ctr" anchorCtr="1" forceAA="0"/>
              <a:lstStyle/>
              <a:p>
                <a:pPr>
                  <a:defRPr lang="zh-CN" sz="800" b="0" i="0" u="none" strike="noStrike" kern="1200" baseline="0">
                    <a:solidFill>
                      <a:schemeClr val="tx1">
                        <a:lumMod val="65000"/>
                        <a:lumOff val="35000"/>
                      </a:schemeClr>
                    </a:solidFill>
                    <a:latin typeface="微软雅黑" panose="020B0503020204020204" charset="-122"/>
                    <a:ea typeface="微软雅黑" panose="020B0503020204020204" charset="-122"/>
                    <a:cs typeface="微软雅黑" panose="020B0503020204020204" charset="-122"/>
                    <a:sym typeface="微软雅黑" panose="020B0503020204020204" charset="-122"/>
                  </a:defRPr>
                </a:pPr>
              </a:p>
            </c:txPr>
            <c:dLblPos val="outEnd"/>
            <c:showLegendKey val="1"/>
            <c:showVal val="0"/>
            <c:showCatName val="1"/>
            <c:showSerName val="0"/>
            <c:showPercent val="1"/>
            <c:showBubbleSize val="0"/>
            <c:separator> </c:separator>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[2021级关务与外贸服务教学进程表6.10.xlsx]Sheet2!$A$3:$C$3</c:f>
              <c:strCache>
                <c:ptCount val="3"/>
                <c:pt idx="0">
                  <c:v>高级职称</c:v>
                </c:pt>
                <c:pt idx="1">
                  <c:v>中级职称</c:v>
                </c:pt>
                <c:pt idx="2">
                  <c:v>初级职称</c:v>
                </c:pt>
              </c:strCache>
            </c:strRef>
          </c:cat>
          <c:val>
            <c:numRef>
              <c:f>[2021级关务与外贸服务教学进程表6.10.xlsx]Sheet2!$A$4:$C$4</c:f>
              <c:numCache>
                <c:formatCode>General</c:formatCode>
                <c:ptCount val="3"/>
                <c:pt idx="0">
                  <c:v>4</c:v>
                </c:pt>
                <c:pt idx="1">
                  <c:v>5</c:v>
                </c:pt>
                <c:pt idx="2">
                  <c:v>1</c:v>
                </c:pt>
              </c:numCache>
            </c:numRef>
          </c:val>
        </c:ser>
        <c:dLbls>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rgbClr val="FFFFFF"/>
    </a:solidFill>
    <a:ln w="9525" cap="flat" cmpd="sng" algn="ctr">
      <a:solidFill>
        <a:schemeClr val="tx1">
          <a:lumMod val="15000"/>
          <a:lumOff val="85000"/>
        </a:schemeClr>
      </a:solidFill>
      <a:round/>
    </a:ln>
    <a:effectLst>
      <a:outerShdw blurRad="63500" dist="37357" dir="2700000" sx="0" sy="0" rotWithShape="0">
        <a:scrgbClr r="0" g="0" b="0"/>
      </a:outerShdw>
    </a:effectLst>
  </c:spPr>
  <c:txPr>
    <a:bodyPr/>
    <a:lstStyle/>
    <a:p>
      <a:pPr>
        <a:defRPr lang="zh-CN">
          <a:solidFill>
            <a:schemeClr val="tx1">
              <a:lumMod val="65000"/>
              <a:lumOff val="35000"/>
            </a:schemeClr>
          </a:solidFill>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forceAA="0"/>
          <a:lstStyle/>
          <a:p>
            <a:pPr>
              <a:defRPr lang="zh-CN" sz="1400" b="1" i="0" u="none" strike="noStrike" kern="1200" spc="0" baseline="0">
                <a:solidFill>
                  <a:schemeClr val="tx1">
                    <a:lumMod val="65000"/>
                    <a:lumOff val="35000"/>
                  </a:schemeClr>
                </a:solidFill>
                <a:latin typeface="黑体" panose="02010609060101010101" charset="-122"/>
                <a:ea typeface="黑体" panose="02010609060101010101" charset="-122"/>
                <a:cs typeface="黑体" panose="02010609060101010101" charset="-122"/>
                <a:sym typeface="黑体" panose="02010609060101010101" charset="-122"/>
              </a:defRPr>
            </a:pPr>
            <a:r>
              <a:rPr>
                <a:latin typeface="黑体" panose="02010609060101010101" charset="-122"/>
                <a:ea typeface="黑体" panose="02010609060101010101" charset="-122"/>
                <a:cs typeface="黑体" panose="02010609060101010101" charset="-122"/>
                <a:sym typeface="黑体" panose="02010609060101010101" charset="-122"/>
              </a:rPr>
              <a:t>专任教师学历结构</a:t>
            </a:r>
            <a:endParaRPr>
              <a:latin typeface="黑体" panose="02010609060101010101" charset="-122"/>
              <a:ea typeface="黑体" panose="02010609060101010101" charset="-122"/>
              <a:cs typeface="黑体" panose="02010609060101010101" charset="-122"/>
              <a:sym typeface="黑体" panose="02010609060101010101" charset="-122"/>
            </a:endParaRPr>
          </a:p>
        </c:rich>
      </c:tx>
      <c:layout>
        <c:manualLayout>
          <c:xMode val="edge"/>
          <c:yMode val="edge"/>
          <c:x val="0.333888888888889"/>
          <c:y val="0.0277777777777778"/>
        </c:manualLayout>
      </c:layout>
      <c:overlay val="0"/>
      <c:spPr>
        <a:noFill/>
        <a:ln>
          <a:noFill/>
        </a:ln>
        <a:effectLst/>
      </c:spPr>
    </c:title>
    <c:autoTitleDeleted val="0"/>
    <c:plotArea>
      <c:layout>
        <c:manualLayout>
          <c:layoutTarget val="inner"/>
          <c:xMode val="edge"/>
          <c:yMode val="edge"/>
          <c:x val="0.295728985700922"/>
          <c:y val="0.211752623353427"/>
          <c:w val="0.408542028598156"/>
          <c:h val="0.682545210984595"/>
        </c:manualLayout>
      </c:layout>
      <c:pieChart>
        <c:varyColors val="1"/>
        <c:ser>
          <c:idx val="0"/>
          <c:order val="0"/>
          <c:spPr/>
          <c:explosion val="4"/>
          <c:dPt>
            <c:idx val="0"/>
            <c:bubble3D val="0"/>
            <c:spPr>
              <a:gradFill>
                <a:gsLst>
                  <a:gs pos="100000">
                    <a:srgbClr val="F5C5D6"/>
                  </a:gs>
                  <a:gs pos="0">
                    <a:srgbClr val="9A97EF"/>
                  </a:gs>
                </a:gsLst>
                <a:lin ang="13500000" scaled="1"/>
              </a:gradFill>
              <a:ln w="19050">
                <a:solidFill>
                  <a:schemeClr val="lt1"/>
                </a:solidFill>
              </a:ln>
              <a:effectLst/>
            </c:spPr>
          </c:dPt>
          <c:dPt>
            <c:idx val="1"/>
            <c:bubble3D val="0"/>
            <c:spPr>
              <a:solidFill>
                <a:srgbClr val="FFC000">
                  <a:lumMod val="20000"/>
                  <a:lumOff val="80000"/>
                </a:srgbClr>
              </a:solidFill>
              <a:ln w="19050">
                <a:solidFill>
                  <a:schemeClr val="lt1"/>
                </a:solidFill>
              </a:ln>
              <a:effectLst/>
            </c:spPr>
          </c:dPt>
          <c:dPt>
            <c:idx val="2"/>
            <c:bubble3D val="0"/>
            <c:spPr>
              <a:gradFill>
                <a:gsLst>
                  <a:gs pos="50000">
                    <a:schemeClr val="bg1">
                      <a:lumMod val="85000"/>
                    </a:schemeClr>
                  </a:gs>
                  <a:gs pos="100000">
                    <a:srgbClr val="D4CFC9"/>
                  </a:gs>
                  <a:gs pos="0">
                    <a:srgbClr val="F5EFF3"/>
                  </a:gs>
                </a:gsLst>
                <a:lin ang="5400000" scaled="1"/>
              </a:gradFill>
              <a:ln w="19050">
                <a:solidFill>
                  <a:schemeClr val="lt1"/>
                </a:solidFill>
              </a:ln>
              <a:effectLst/>
            </c:spPr>
          </c:dPt>
          <c:dLbls>
            <c:numFmt formatCode="General" sourceLinked="1"/>
            <c:spPr>
              <a:noFill/>
              <a:ln>
                <a:noFill/>
              </a:ln>
              <a:effectLst/>
            </c:spPr>
            <c:txPr>
              <a:bodyPr rot="0" spcFirstLastPara="0" vertOverflow="ellipsis" vert="horz" wrap="square" lIns="38100" tIns="19050" rIns="38100" bIns="19050" anchor="ctr" anchorCtr="1" forceAA="0"/>
              <a:lstStyle/>
              <a:p>
                <a:pPr>
                  <a:defRPr lang="zh-CN" sz="800" b="0" i="0" u="none" strike="noStrike" kern="1200" baseline="0">
                    <a:solidFill>
                      <a:schemeClr val="tx1">
                        <a:lumMod val="65000"/>
                        <a:lumOff val="35000"/>
                      </a:schemeClr>
                    </a:solidFill>
                    <a:latin typeface="微软雅黑" panose="020B0503020204020204" charset="-122"/>
                    <a:ea typeface="微软雅黑" panose="020B0503020204020204" charset="-122"/>
                    <a:cs typeface="微软雅黑" panose="020B0503020204020204" charset="-122"/>
                    <a:sym typeface="微软雅黑" panose="020B0503020204020204" charset="-122"/>
                  </a:defRPr>
                </a:pPr>
              </a:p>
            </c:txPr>
            <c:dLblPos val="outEnd"/>
            <c:showLegendKey val="1"/>
            <c:showVal val="0"/>
            <c:showCatName val="1"/>
            <c:showSerName val="0"/>
            <c:showPercent val="1"/>
            <c:showBubbleSize val="0"/>
            <c:separator> </c:separator>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[2021级关务与外贸服务教学进程表6.10.xlsx]Sheet2!$A$3:$C$3</c:f>
              <c:strCache>
                <c:ptCount val="3"/>
                <c:pt idx="0">
                  <c:v>硕士</c:v>
                </c:pt>
                <c:pt idx="1">
                  <c:v>博士</c:v>
                </c:pt>
              </c:strCache>
            </c:strRef>
          </c:cat>
          <c:val>
            <c:numRef>
              <c:f>[2021级关务与外贸服务教学进程表6.10.xlsx]Sheet2!$A$4:$C$4</c:f>
              <c:numCache>
                <c:formatCode>General</c:formatCode>
                <c:ptCount val="3"/>
                <c:pt idx="0">
                  <c:v>9</c:v>
                </c:pt>
                <c:pt idx="1">
                  <c:v>1</c:v>
                </c:pt>
              </c:numCache>
            </c:numRef>
          </c:val>
        </c:ser>
        <c:dLbls>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rgbClr val="FFFFFF"/>
    </a:solidFill>
    <a:ln w="9525" cap="flat" cmpd="sng" algn="ctr">
      <a:solidFill>
        <a:schemeClr val="tx1">
          <a:lumMod val="15000"/>
          <a:lumOff val="85000"/>
        </a:schemeClr>
      </a:solidFill>
      <a:round/>
    </a:ln>
    <a:effectLst>
      <a:outerShdw blurRad="63500" dist="37357" dir="2700000" sx="0" sy="0" rotWithShape="0">
        <a:scrgbClr r="0" g="0" b="0"/>
      </a:outerShdw>
    </a:effectLst>
  </c:spPr>
  <c:txPr>
    <a:bodyPr/>
    <a:lstStyle/>
    <a:p>
      <a:pPr>
        <a:defRPr lang="zh-CN">
          <a:solidFill>
            <a:schemeClr val="tx1">
              <a:lumMod val="65000"/>
              <a:lumOff val="35000"/>
            </a:schemeClr>
          </a:solidFill>
        </a:defRPr>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400" b="1" i="0" u="none" strike="noStrike" kern="1200" spc="0" baseline="0">
                <a:solidFill>
                  <a:schemeClr val="tx1">
                    <a:lumMod val="65000"/>
                    <a:lumOff val="35000"/>
                  </a:schemeClr>
                </a:solidFill>
                <a:latin typeface="黑体" panose="02010609060101010101" charset="-122"/>
                <a:ea typeface="黑体" panose="02010609060101010101" charset="-122"/>
                <a:cs typeface="黑体" panose="02010609060101010101" charset="-122"/>
                <a:sym typeface="黑体" panose="02010609060101010101" charset="-122"/>
              </a:defRPr>
            </a:pPr>
            <a:r>
              <a:rPr b="1">
                <a:latin typeface="黑体" panose="02010609060101010101" charset="-122"/>
                <a:ea typeface="黑体" panose="02010609060101010101" charset="-122"/>
                <a:cs typeface="黑体" panose="02010609060101010101" charset="-122"/>
                <a:sym typeface="黑体" panose="02010609060101010101" charset="-122"/>
              </a:rPr>
              <a:t>专任教师年龄结构</a:t>
            </a:r>
            <a:endParaRPr b="1">
              <a:latin typeface="黑体" panose="02010609060101010101" charset="-122"/>
              <a:ea typeface="黑体" panose="02010609060101010101" charset="-122"/>
              <a:cs typeface="黑体" panose="02010609060101010101" charset="-122"/>
              <a:sym typeface="黑体" panose="02010609060101010101" charset="-122"/>
            </a:endParaRPr>
          </a:p>
        </c:rich>
      </c:tx>
      <c:layout/>
      <c:overlay val="0"/>
      <c:spPr>
        <a:noFill/>
        <a:ln>
          <a:noFill/>
        </a:ln>
        <a:effectLst/>
      </c:spPr>
    </c:title>
    <c:autoTitleDeleted val="0"/>
    <c:plotArea>
      <c:layout>
        <c:manualLayout>
          <c:layoutTarget val="inner"/>
          <c:xMode val="edge"/>
          <c:yMode val="edge"/>
          <c:x val="0.295728985700922"/>
          <c:y val="0.211752623353427"/>
          <c:w val="0.408542028598156"/>
          <c:h val="0.682545210984595"/>
        </c:manualLayout>
      </c:layout>
      <c:pieChart>
        <c:varyColors val="1"/>
        <c:ser>
          <c:idx val="0"/>
          <c:order val="0"/>
          <c:spPr/>
          <c:explosion val="4"/>
          <c:dPt>
            <c:idx val="0"/>
            <c:bubble3D val="0"/>
            <c:spPr>
              <a:gradFill>
                <a:gsLst>
                  <a:gs pos="96000">
                    <a:srgbClr val="FDBE29"/>
                  </a:gs>
                  <a:gs pos="0">
                    <a:srgbClr val="FFDC90"/>
                  </a:gs>
                </a:gsLst>
                <a:path path="circle">
                  <a:fillToRect t="100000" r="100000"/>
                </a:path>
                <a:tileRect l="-100000" b="-100000"/>
              </a:gradFill>
              <a:ln w="19050">
                <a:solidFill>
                  <a:schemeClr val="lt1"/>
                </a:solidFill>
              </a:ln>
              <a:effectLst/>
            </c:spPr>
          </c:dPt>
          <c:dPt>
            <c:idx val="1"/>
            <c:bubble3D val="0"/>
            <c:spPr>
              <a:gradFill>
                <a:gsLst>
                  <a:gs pos="0">
                    <a:srgbClr val="FE4444">
                      <a:alpha val="100000"/>
                    </a:srgbClr>
                  </a:gs>
                  <a:gs pos="16000">
                    <a:srgbClr val="FE4444"/>
                  </a:gs>
                  <a:gs pos="100000">
                    <a:srgbClr val="832B2B"/>
                  </a:gs>
                </a:gsLst>
                <a:path path="circle">
                  <a:fillToRect l="100000" t="100000"/>
                </a:path>
                <a:tileRect r="-100000" b="-100000"/>
              </a:gradFill>
              <a:ln w="19050">
                <a:solidFill>
                  <a:schemeClr val="lt1"/>
                </a:solidFill>
              </a:ln>
              <a:effectLst/>
            </c:spPr>
          </c:dPt>
          <c:dPt>
            <c:idx val="2"/>
            <c:bubble3D val="0"/>
            <c:spPr>
              <a:solidFill>
                <a:schemeClr val="accent2">
                  <a:lumMod val="40000"/>
                  <a:lumOff val="60000"/>
                </a:schemeClr>
              </a:solidFill>
              <a:ln w="19050">
                <a:solidFill>
                  <a:schemeClr val="lt1"/>
                </a:solidFill>
              </a:ln>
              <a:effectLst/>
            </c:spPr>
          </c:dPt>
          <c:dPt>
            <c:idx val="3"/>
            <c:bubble3D val="0"/>
            <c:spPr>
              <a:solidFill>
                <a:schemeClr val="bg2"/>
              </a:solidFill>
              <a:ln w="19050">
                <a:solidFill>
                  <a:schemeClr val="lt1"/>
                </a:solidFill>
              </a:ln>
              <a:effectLst/>
            </c:spPr>
          </c:dPt>
          <c:dLbls>
            <c:numFmt formatCode="General" sourceLinked="1"/>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1"/>
            <c:showVal val="0"/>
            <c:showCatName val="1"/>
            <c:showSerName val="0"/>
            <c:showPercent val="1"/>
            <c:showBubbleSize val="0"/>
            <c:separator> </c:separator>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[2021级关务与外贸服务教学进程表6.10.xlsx]Sheet2!$C$22:$F$22</c:f>
              <c:strCache>
                <c:ptCount val="4"/>
                <c:pt idx="0">
                  <c:v>50岁以上</c:v>
                </c:pt>
                <c:pt idx="1">
                  <c:v>40-49岁</c:v>
                </c:pt>
                <c:pt idx="2">
                  <c:v>30-39岁</c:v>
                </c:pt>
                <c:pt idx="3">
                  <c:v>30岁以下</c:v>
                </c:pt>
              </c:strCache>
            </c:strRef>
          </c:cat>
          <c:val>
            <c:numRef>
              <c:f>[2021级关务与外贸服务教学进程表6.10.xlsx]Sheet2!$C$23:$F$23</c:f>
              <c:numCache>
                <c:formatCode>General</c:formatCode>
                <c:ptCount val="4"/>
                <c:pt idx="0">
                  <c:v>2</c:v>
                </c:pt>
                <c:pt idx="1">
                  <c:v>4</c:v>
                </c:pt>
                <c:pt idx="2">
                  <c:v>2</c:v>
                </c:pt>
                <c:pt idx="3">
                  <c:v>2</c:v>
                </c:pt>
              </c:numCache>
            </c:numRef>
          </c:val>
        </c:ser>
        <c:dLbls>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Pages>6</Pages>
  <Words>440</Words>
  <Characters>2513</Characters>
  <Lines>20</Lines>
  <Paragraphs>5</Paragraphs>
  <TotalTime>6</TotalTime>
  <ScaleCrop>false</ScaleCrop>
  <LinksUpToDate>false</LinksUpToDate>
  <CharactersWithSpaces>2948</CharactersWithSpaces>
  <Application>WPS Office_4.2.2.6882_F1E327BC-269C-435d-A152-05C5408002CA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2016-12-24T08:35:00Z</dcterms:created>
  <dc:creator>NJCI</dc:creator>
  <cp:lastModifiedBy>blueblack</cp:lastModifiedBy>
  <cp:lastPrinted>2015-05-14T14:22:00Z</cp:lastPrinted>
  <dcterms:modified xsi:type="dcterms:W3CDTF">2022-06-30T14:26:54Z</dcterms:modified>
  <dc:title>2015年报关与国际货运专业介绍</dc:title>
  <cp:revision>37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2052-4.2.2.6882</vt:lpwstr>
  </property>
  <property fmtid="{D5CDD505-2E9C-101B-9397-08002B2CF9AE}" pid="3" name="ICV">
    <vt:lpwstr>078DE21E77500C399DFBBB62F4345333</vt:lpwstr>
  </property>
</Properties>
</file>